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22" w:rsidRDefault="00DD386E">
      <w:pPr>
        <w:shd w:val="clear" w:color="auto" w:fill="FAFBFC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  </w:t>
      </w: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Новосибирский транспортный прокурор разъясняет: </w:t>
      </w:r>
    </w:p>
    <w:p w:rsidR="006C2E22" w:rsidRDefault="006C2E22">
      <w:pPr>
        <w:shd w:val="clear" w:color="auto" w:fill="FAFBFC"/>
        <w:spacing w:after="0" w:line="240" w:lineRule="auto"/>
        <w:ind w:firstLine="709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6C2E22" w:rsidRDefault="00DD386E">
      <w:pPr>
        <w:pStyle w:val="ab"/>
        <w:shd w:val="clear" w:color="auto" w:fill="FAFBFC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1 апреля 2024 года повышается размер штрафа за задержку рейсов.</w:t>
      </w:r>
    </w:p>
    <w:bookmarkEnd w:id="0"/>
    <w:p w:rsidR="006C2E22" w:rsidRDefault="00DD386E">
      <w:pPr>
        <w:pStyle w:val="ab"/>
        <w:shd w:val="clear" w:color="auto" w:fill="FAFBFC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от 04.08.2023 № 487-ФЗ внесены изменения в ст. 120 ВК РФ, направленные на защиту интересов авиапассажиров путем </w:t>
      </w:r>
      <w:r>
        <w:rPr>
          <w:sz w:val="26"/>
          <w:szCs w:val="26"/>
        </w:rPr>
        <w:t>повышения ответственности за задержку рейса.</w:t>
      </w:r>
    </w:p>
    <w:p w:rsidR="006C2E22" w:rsidRDefault="00DD386E">
      <w:pPr>
        <w:pStyle w:val="ab"/>
        <w:shd w:val="clear" w:color="auto" w:fill="FAFBFC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вступления новелл в силу 1 апреля 2024 года перевозчик за просрочку доставки пассажира, багажа или груза в пункт назначения обязан уплатить штраф в размере 100 рублей за каждый час просрочки, но не более ч</w:t>
      </w:r>
      <w:r>
        <w:rPr>
          <w:sz w:val="26"/>
          <w:szCs w:val="26"/>
        </w:rPr>
        <w:t>ем 50 % провозной платы.</w:t>
      </w:r>
    </w:p>
    <w:p w:rsidR="006C2E22" w:rsidRDefault="00DD386E">
      <w:pPr>
        <w:pStyle w:val="ab"/>
        <w:shd w:val="clear" w:color="auto" w:fill="FAFBFC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Пассажир также вправе потребовать от перевозчика возмещения ему убытков, причиненных в связи с просрочкой его доставки или багажа в пункт назначения, в полном объеме сверх предусмотренного настоящей статьей штрафа.</w:t>
      </w:r>
    </w:p>
    <w:p w:rsidR="006C2E22" w:rsidRDefault="00DD386E">
      <w:pPr>
        <w:pStyle w:val="ab"/>
        <w:shd w:val="clear" w:color="auto" w:fill="FAFBFC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Пассажиры, котор</w:t>
      </w:r>
      <w:r>
        <w:rPr>
          <w:sz w:val="26"/>
          <w:szCs w:val="26"/>
        </w:rPr>
        <w:t>ым авиакомпания отказа в добровольной выплате штрафных санкций в претензионном порядке имеют право обратиться в суд или транспортную прокуратуру по месту нахождения перевозчика.</w:t>
      </w:r>
    </w:p>
    <w:p w:rsidR="006C2E22" w:rsidRDefault="006C2E22">
      <w:pPr>
        <w:pStyle w:val="ab"/>
        <w:shd w:val="clear" w:color="auto" w:fill="FAFBFC"/>
        <w:spacing w:beforeAutospacing="0" w:after="360" w:afterAutospacing="0"/>
        <w:rPr>
          <w:rFonts w:ascii="Arial" w:hAnsi="Arial" w:cs="Arial"/>
          <w:color w:val="3B4256"/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DD386E">
      <w:pPr>
        <w:spacing w:line="240" w:lineRule="auto"/>
        <w:rPr>
          <w:sz w:val="26"/>
          <w:szCs w:val="26"/>
        </w:rPr>
      </w:pPr>
      <w:r>
        <w:br w:type="page"/>
      </w:r>
    </w:p>
    <w:p w:rsidR="006C2E22" w:rsidRDefault="00DD386E">
      <w:pPr>
        <w:pStyle w:val="ab"/>
        <w:shd w:val="clear" w:color="auto" w:fill="FFFFFF"/>
        <w:spacing w:beforeAutospacing="0" w:after="210" w:afterAutospacing="0"/>
        <w:jc w:val="center"/>
        <w:rPr>
          <w:rFonts w:ascii="Montserrat" w:hAnsi="Montserrat"/>
          <w:color w:val="27335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Новосибирский транспортный прокурор разъясняет: </w:t>
      </w:r>
      <w:r>
        <w:rPr>
          <w:rStyle w:val="a3"/>
          <w:color w:val="273350"/>
          <w:sz w:val="26"/>
          <w:szCs w:val="26"/>
        </w:rPr>
        <w:t>Действия, угрожающие бе</w:t>
      </w:r>
      <w:r>
        <w:rPr>
          <w:rStyle w:val="a3"/>
          <w:color w:val="273350"/>
          <w:sz w:val="26"/>
          <w:szCs w:val="26"/>
        </w:rPr>
        <w:t>зопасности движения на водном транспорте</w:t>
      </w:r>
    </w:p>
    <w:p w:rsidR="006C2E22" w:rsidRDefault="00DD386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rFonts w:ascii="Montserrat" w:hAnsi="Montserrat"/>
          <w:color w:val="273350"/>
          <w:sz w:val="26"/>
          <w:szCs w:val="26"/>
        </w:rPr>
      </w:pPr>
      <w:r>
        <w:rPr>
          <w:color w:val="273350"/>
          <w:sz w:val="26"/>
          <w:szCs w:val="26"/>
        </w:rPr>
        <w:t>В статье 11.6 КоАП РФ определены действия, угрожающие безопасности движения на водном транспорте, а также предусмотрена ответственность за совершение данных действий.</w:t>
      </w:r>
    </w:p>
    <w:p w:rsidR="006C2E22" w:rsidRDefault="00DD386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rFonts w:ascii="Montserrat" w:hAnsi="Montserrat"/>
          <w:color w:val="273350"/>
          <w:sz w:val="26"/>
          <w:szCs w:val="26"/>
        </w:rPr>
      </w:pPr>
      <w:proofErr w:type="gramStart"/>
      <w:r>
        <w:rPr>
          <w:color w:val="273350"/>
          <w:sz w:val="26"/>
          <w:szCs w:val="26"/>
        </w:rPr>
        <w:t>Нарушение порядка установки и устройства запаней</w:t>
      </w:r>
      <w:r>
        <w:rPr>
          <w:color w:val="273350"/>
          <w:sz w:val="26"/>
          <w:szCs w:val="26"/>
        </w:rPr>
        <w:t xml:space="preserve"> и лесных гаваней, устройство заколов и иных приспособлений для добычи (вылова)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гидросооружений, а равно </w:t>
      </w:r>
      <w:r>
        <w:rPr>
          <w:color w:val="273350"/>
          <w:sz w:val="26"/>
          <w:szCs w:val="26"/>
        </w:rPr>
        <w:t>проведение без надлежащего разрешения водолазных работ в портовых водах или несоблюдение правил подачи сигналов во время проведения этих работ</w:t>
      </w:r>
      <w:proofErr w:type="gramEnd"/>
      <w:r>
        <w:rPr>
          <w:color w:val="273350"/>
          <w:sz w:val="26"/>
          <w:szCs w:val="26"/>
        </w:rPr>
        <w:t xml:space="preserve"> – влечет наложение административного штрафа на граждан в размере от трехсот до пятисот рублей; на должностных лиц</w:t>
      </w:r>
      <w:r>
        <w:rPr>
          <w:color w:val="273350"/>
          <w:sz w:val="26"/>
          <w:szCs w:val="26"/>
        </w:rPr>
        <w:t xml:space="preserve"> - от пятисот до одной тысячи рублей.</w:t>
      </w:r>
    </w:p>
    <w:p w:rsidR="006C2E22" w:rsidRDefault="00DD386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rFonts w:ascii="Montserrat" w:hAnsi="Montserrat"/>
          <w:color w:val="273350"/>
          <w:sz w:val="26"/>
          <w:szCs w:val="26"/>
        </w:rPr>
      </w:pPr>
      <w:proofErr w:type="gramStart"/>
      <w:r>
        <w:rPr>
          <w:color w:val="273350"/>
          <w:sz w:val="26"/>
          <w:szCs w:val="26"/>
        </w:rPr>
        <w:t>Уничтожение или повреждение сооружений и устройств связи и сигнализации на судах морского транспорта, внутреннего водного транспорта, плавучих и береговых средств навигационного оборудования или технических средств и з</w:t>
      </w:r>
      <w:r>
        <w:rPr>
          <w:color w:val="273350"/>
          <w:sz w:val="26"/>
          <w:szCs w:val="26"/>
        </w:rPr>
        <w:t>наков судоходной и навигационной обстановки, средств связи и сигнализации, а равно повреждение портовых и гидротехнических сооружений, срыв или установка без надлежащего разрешения (согласования) знаков, сооружений, источников звуковых и световых сигналов,</w:t>
      </w:r>
      <w:r>
        <w:rPr>
          <w:color w:val="273350"/>
          <w:sz w:val="26"/>
          <w:szCs w:val="26"/>
        </w:rPr>
        <w:t xml:space="preserve"> создающих помехи в опознании</w:t>
      </w:r>
      <w:proofErr w:type="gramEnd"/>
      <w:r>
        <w:rPr>
          <w:color w:val="273350"/>
          <w:sz w:val="26"/>
          <w:szCs w:val="26"/>
        </w:rPr>
        <w:t xml:space="preserve"> навигационных знаков и сигналов</w:t>
      </w:r>
      <w:proofErr w:type="gramStart"/>
      <w:r>
        <w:rPr>
          <w:color w:val="273350"/>
          <w:sz w:val="26"/>
          <w:szCs w:val="26"/>
        </w:rPr>
        <w:t>,–</w:t>
      </w:r>
      <w:proofErr w:type="gramEnd"/>
      <w:r>
        <w:rPr>
          <w:color w:val="273350"/>
          <w:sz w:val="26"/>
          <w:szCs w:val="26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6C2E22" w:rsidRDefault="00DD386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rFonts w:ascii="Montserrat" w:hAnsi="Montserrat"/>
          <w:color w:val="273350"/>
          <w:sz w:val="26"/>
          <w:szCs w:val="26"/>
        </w:rPr>
      </w:pPr>
      <w:r>
        <w:rPr>
          <w:color w:val="273350"/>
          <w:sz w:val="26"/>
          <w:szCs w:val="26"/>
        </w:rPr>
        <w:t>Нарушение правил содержания и устано</w:t>
      </w:r>
      <w:r>
        <w:rPr>
          <w:color w:val="273350"/>
          <w:sz w:val="26"/>
          <w:szCs w:val="26"/>
        </w:rPr>
        <w:t>вленного режима эксплуатации навигационного оборудования на мостах, плотинах и других гидротехнических сооружениях – влечет наложение административного штрафа на должностных лиц в размере от пятисот до одной тысячи рублей.</w:t>
      </w: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DD386E">
      <w:pPr>
        <w:spacing w:line="240" w:lineRule="auto"/>
        <w:rPr>
          <w:sz w:val="26"/>
          <w:szCs w:val="26"/>
        </w:rPr>
      </w:pPr>
      <w:r>
        <w:br w:type="page"/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Новосибирский транспортный прокурор разъясняет:  </w:t>
      </w:r>
    </w:p>
    <w:p w:rsidR="006C2E22" w:rsidRDefault="006C2E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МЧС России от 27.07.2023г. № 777 утверждены Правила государственной регистрации маломерных судов, используемых в некоммерческих целях, и формы судового билета. Приказ МЧС России от 01.06.2021г.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355 «Об утверждении Правил государственной регистрации маломерных судов, используемых в некоммерческих целях» признан утратившим силу.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Владелец маломерного судна обязан обратится в подразделение ГИМС МЧС с заявлением о государственной регистрации судна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права собственности на него или перехода такого права на судно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календарных дней со дня оформления документов, подтверждающих возникновение или переход прав.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государственной регистрации принимаются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со дня поступлени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указанного заявления.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приказе определен порядок государственной регистрации права финансовой аренды (лизинга) маломерного судна. Расширен перечень изменений, вносимых в запись о регистрации.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 исчерпывающий перечень оснований для исключения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дна из реестра маломерных судов. Приведена новая форма судового билета.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вступил в силу с 8 сентября 2023 года.</w:t>
      </w: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DD386E">
      <w:pPr>
        <w:spacing w:line="240" w:lineRule="auto"/>
        <w:rPr>
          <w:sz w:val="26"/>
          <w:szCs w:val="26"/>
        </w:rPr>
      </w:pPr>
      <w:r>
        <w:br w:type="page"/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Новосибирский транспортный прокурор разъясняет: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Правительством Российской Федерации утвержден обновленный перечень работ, не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посредственно связанных с обеспечением транспортной безопасности» </w:t>
      </w:r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10 Федерального закона от 09.02.2007 № 16-ФЗ «О транспортной безопасности» в отношении лиц, выполняющих работы, непосредственно связанные с обеспечением транспортной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езопасности, установлены определенные ограничения (отсутствие непогашенной или неснятой судимости, психических заболеваний, заключения органов внутренних дел о невозможности допуска к выполнению работ, непосредственно связанных с обеспечением транспортной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безопасности).</w:t>
      </w:r>
      <w:proofErr w:type="gramEnd"/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ч. 2 ст. 10 Федерального закона от 09.02.2007 № 16-ФЗ постановлением Правительства Российской Федерации от 18.09.2023 № 1518 утвержден перечень работ, непосредственно связанных с обеспечением транспортной безопасности.</w:t>
      </w:r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енный перечень включены, в том числе следующие работы:</w:t>
      </w:r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реализация паспортов обеспечения транспортной безопасности объектов транспортной инфраструктуры (в отношении объектов транспортной инфраструктуры, не подлежащих категорированию) и паспор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обеспечения транспортной безопасности транспортных средств;</w:t>
      </w:r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реализация программ обеспечения транспортной безопасности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эксплуатантов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(транспортных средств).</w:t>
      </w:r>
    </w:p>
    <w:p w:rsidR="006C2E22" w:rsidRDefault="00DD386E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вступило в силу с 01.09.2024 и действует до 01.09.2030.</w:t>
      </w:r>
    </w:p>
    <w:p w:rsidR="006C2E22" w:rsidRDefault="00DD386E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br w:type="page"/>
      </w:r>
    </w:p>
    <w:p w:rsidR="006C2E22" w:rsidRDefault="00DD386E">
      <w:pPr>
        <w:pStyle w:val="ab"/>
        <w:shd w:val="clear" w:color="auto" w:fill="FFFFFF"/>
        <w:tabs>
          <w:tab w:val="left" w:pos="426"/>
        </w:tabs>
        <w:spacing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Новосибирский транспортный прокурор разъясняет:  </w:t>
      </w:r>
      <w:r>
        <w:rPr>
          <w:b/>
          <w:color w:val="000000"/>
          <w:sz w:val="26"/>
          <w:szCs w:val="26"/>
        </w:rPr>
        <w:t>Федеральным законом от 24.07.2023 № 387-ФЗ внесены изменения в Федеральный закон «О транспортной безопасности».</w:t>
      </w:r>
    </w:p>
    <w:p w:rsidR="006C2E22" w:rsidRDefault="00DD386E">
      <w:pPr>
        <w:pStyle w:val="ab"/>
        <w:shd w:val="clear" w:color="auto" w:fill="FFFFFF"/>
        <w:tabs>
          <w:tab w:val="left" w:pos="426"/>
        </w:tabs>
        <w:spacing w:beforeAutospacing="0" w:after="0" w:afterAutospacing="0"/>
        <w:ind w:lef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В соответствии с указанными изменениями аттестация по транспортной безопасности водителей и</w:t>
      </w:r>
      <w:r>
        <w:rPr>
          <w:color w:val="000000"/>
          <w:sz w:val="26"/>
          <w:szCs w:val="26"/>
        </w:rPr>
        <w:t xml:space="preserve"> машинистов будет заменена инструктажем и проверкой знаний.</w:t>
      </w:r>
      <w:r>
        <w:rPr>
          <w:color w:val="000000"/>
          <w:sz w:val="26"/>
          <w:szCs w:val="26"/>
        </w:rPr>
        <w:br/>
        <w:t xml:space="preserve">Порядок и форма проведения </w:t>
      </w:r>
      <w:proofErr w:type="gramStart"/>
      <w:r>
        <w:rPr>
          <w:color w:val="000000"/>
          <w:sz w:val="26"/>
          <w:szCs w:val="26"/>
        </w:rPr>
        <w:t>инструктажа</w:t>
      </w:r>
      <w:proofErr w:type="gramEnd"/>
      <w:r>
        <w:rPr>
          <w:color w:val="000000"/>
          <w:sz w:val="26"/>
          <w:szCs w:val="26"/>
        </w:rPr>
        <w:t xml:space="preserve"> и проверка знаний в области обеспечения транспортной безопасности определяются федеральным органом исполнительной власти, осуществляющим функции по выработке</w:t>
      </w:r>
      <w:r>
        <w:rPr>
          <w:color w:val="000000"/>
          <w:sz w:val="26"/>
          <w:szCs w:val="26"/>
        </w:rPr>
        <w:t xml:space="preserve">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</w:t>
      </w:r>
      <w:r>
        <w:rPr>
          <w:color w:val="000000"/>
          <w:sz w:val="26"/>
          <w:szCs w:val="26"/>
        </w:rPr>
        <w:t>м функции по выработке государственной политики и нормативно-правовому регулированию в сфере внутренних дел.</w:t>
      </w:r>
      <w:r>
        <w:rPr>
          <w:color w:val="000000"/>
          <w:sz w:val="26"/>
          <w:szCs w:val="26"/>
        </w:rPr>
        <w:br/>
      </w:r>
      <w:proofErr w:type="gramStart"/>
      <w:r>
        <w:rPr>
          <w:color w:val="000000"/>
          <w:sz w:val="26"/>
          <w:szCs w:val="26"/>
        </w:rPr>
        <w:t xml:space="preserve">Субъекты транспортной инфраструктуры в отношении объекта транспортной инфраструктуры, не подлежащего категорированию, и транспортного средства, за </w:t>
      </w:r>
      <w:r>
        <w:rPr>
          <w:color w:val="000000"/>
          <w:sz w:val="26"/>
          <w:szCs w:val="26"/>
        </w:rPr>
        <w:t>исключением объектов транспортной инфраструктуры морского транспорта,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</w:t>
      </w:r>
      <w:r>
        <w:rPr>
          <w:color w:val="000000"/>
          <w:sz w:val="26"/>
          <w:szCs w:val="26"/>
        </w:rPr>
        <w:t>, судов ледокольного флота, используемых для проводки по морским путям, разрабатывают и утверждают соответственно паспорт обеспечения транспортной безопасности</w:t>
      </w:r>
      <w:proofErr w:type="gramEnd"/>
      <w:r>
        <w:rPr>
          <w:color w:val="000000"/>
          <w:sz w:val="26"/>
          <w:szCs w:val="26"/>
        </w:rPr>
        <w:t xml:space="preserve"> объекта транспортной инфраструктуры и паспорт обеспечения транспортной безопасности транспортног</w:t>
      </w:r>
      <w:r>
        <w:rPr>
          <w:color w:val="000000"/>
          <w:sz w:val="26"/>
          <w:szCs w:val="26"/>
        </w:rPr>
        <w:t>о средства.</w:t>
      </w:r>
      <w:r>
        <w:rPr>
          <w:color w:val="000000"/>
          <w:sz w:val="26"/>
          <w:szCs w:val="26"/>
        </w:rPr>
        <w:br/>
        <w:t>По решению субъекта транспортной инфраструктуры паспорт обеспечения транспортной безопасности транспортного средства может быть оформлен, утвержден путем подписания усиленной квалифицированной электронной подписью лица, уполномоченного действов</w:t>
      </w:r>
      <w:r>
        <w:rPr>
          <w:color w:val="000000"/>
          <w:sz w:val="26"/>
          <w:szCs w:val="26"/>
        </w:rPr>
        <w:t>ать от имени субъекта транспортной инфраструктуры.</w:t>
      </w:r>
      <w:r>
        <w:rPr>
          <w:color w:val="000000"/>
          <w:sz w:val="26"/>
          <w:szCs w:val="26"/>
        </w:rPr>
        <w:br/>
        <w:t>С 01.09.2023 защита объектов транспортной инфраструктуры, подлежащих охране подразделениями ведомственной охраны федеральных органов исполнительной власти в области транспорта, от актов незаконного вмешате</w:t>
      </w:r>
      <w:r>
        <w:rPr>
          <w:color w:val="000000"/>
          <w:sz w:val="26"/>
          <w:szCs w:val="26"/>
        </w:rPr>
        <w:t>льства предусматривает защиту таких объектов от противоправных посягательств и осуществляется указанными подразделениями, являющимися подразделениями транспортной безопасности.</w:t>
      </w:r>
      <w:r>
        <w:rPr>
          <w:color w:val="000000"/>
          <w:sz w:val="26"/>
          <w:szCs w:val="26"/>
        </w:rPr>
        <w:br/>
        <w:t>Изменения вступают в силу с 01.09.2024.</w:t>
      </w:r>
    </w:p>
    <w:p w:rsidR="006C2E22" w:rsidRDefault="006C2E22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22" w:rsidRDefault="00DD386E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br w:type="page"/>
      </w:r>
    </w:p>
    <w:p w:rsidR="006C2E22" w:rsidRDefault="00DD386E">
      <w:pPr>
        <w:shd w:val="clear" w:color="auto" w:fill="F5F5F5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 Новосибирский транспортный прокурор разъясняет: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приказа Минтранса России от 28.06.2007 № 82 «Об утверждении Федеральных авиационных правил «Общие правила воздушных перевозок пассажиров, багажа, грузов и требования к обслужи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ванию пассажиров, грузоотправителей, грузополучателей» (далее – Правила) авиакомпания или его представитель оформляют билет на основании документа, удостоверяющего личность пассажира, в том числе его копии, или выписанных из него данных (серия и номер, сро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действия и выдачи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690" cy="6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" cy="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black" stroked="f" o:allowincell="f" style="position:absolute;margin-left:0pt;margin-top:-0.1pt;width:4.65pt;height:0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чем наличие оригинала документа, удостоверяющего личность для покупки авиабилета, не требуется.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предъявлении пассажиром перед регистрацией на рейс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заламинированного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документа, удостоверяющего личность, представитель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авиакомпании вправе отказать в регистрации на рейс, поскольку исключена возможность подтверждения подлинности такого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он считается испорченным (ч. 1 ст. 9 Федерального закона от 15.11.1997 № 143-ФЗ «Об актах гражданского состояния»).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случ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 действия представителя авиакомпании законны.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 1 ст. 9 Федерального закона от 15.11.1997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143-ФЗ «Об актах гражданского состояния» в случае утраты, порчи, в других случаях отсутствия возможности использования свидетельства о государст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венной регистрации акта гражданского состояния, в том числе ветхости бланка свидетельства,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нечитаемости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текста и (или) печати органа записи актов гражданского состояния,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ламинирования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 записи актов гражданского состояния выдает повторное свидетельств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 государственной регистрации акта гражданского состояния, а в случаях, предусмотренных настоящим Федеральным 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другими федеральными законами, иной документ, подтверждающий факт государственной регистрации акта гражданского состояния 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пассажир намерен предъявить при регистрации на рейс иной документ, удостоверяющий его личность, чем тот, на основан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которого был оформлен билет, пассажиру следует заблаговременно до прохождения регистрации на рейс обратиться к перевозчику или уполномоченному агенту для внесения изменений в билет и в автоматизированную систему бронирования, а перевозчик или уполномоче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 агент обязаны произвести действия по внесению указанных изменений (п. 51 Правил).</w:t>
      </w:r>
      <w:proofErr w:type="gramEnd"/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Бремя ответственности за сохранность удостоверяющего личность документа и проверку внесенных данных в билет, несет пассажир.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на законодательном уровне пря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мого запрета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ламинирование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официальных и иных документов, нет. Вы вправе воспользоваться такой возможностью по своему усмотрению, однако вам необходимо учитывать риски неблагоприятных последствий, которые могут возникнуть в ряде случаев, например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борт самолета и испорченный отпуск.</w:t>
      </w: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6C2E2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7.   Новосибирский транспортный прокурор разъясняет: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Госпошлины за выдачу загранпаспорта нового образца и разрешений на труд иностранцев повысят с 1 июля 2024 года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 1 июля 2024 года госпошлина за выдачу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загранпаспорта с электронным носителем информации составит 6 000 руб. Сейчас уплачивают 5 000 руб. Чтобы предоставили загранпаспорт нового поколения для ребенка до 14 лет,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придется вместо 2 500 руб. внести 3 000 руб. Есть и другие изменения. Например, уве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личат госпошлины за выдачу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таких</w:t>
      </w:r>
      <w:proofErr w:type="gramEnd"/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документов: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приглашения на въе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зд в РФ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иностранца или лица без гражданства. Нужно будет уплатить 960 руб. вместо 800 руб. за каждого приглашенного;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разрешения на привлечение и использование иностранного работника. Новый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размер платежа за каждого такого сотрудника - 12 тыс. руб. Сейчас - 10 тыс. руб.;</w:t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разрешения на работу иностранца или лица без гражданства. Госпошлина составит 4 200 руб. Пока вносят 3 500 руб. Документ: Федеральный закон от 27.11.2023 N 539-ФЗ</w:t>
      </w:r>
    </w:p>
    <w:p w:rsidR="006C2E22" w:rsidRDefault="006C2E22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22" w:rsidRDefault="00DD386E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br w:type="page"/>
      </w:r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8. Новосибирский транспортный прокурор разъясняет: 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Установлена административная ответственность за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незаконное</w:t>
      </w:r>
      <w:proofErr w:type="gramEnd"/>
    </w:p>
    <w:p w:rsidR="006C2E22" w:rsidRDefault="00DD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размещение биометрических персональных данных.</w:t>
      </w:r>
    </w:p>
    <w:p w:rsidR="006C2E22" w:rsidRDefault="006C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Федеральный закон от 12.12.2023 № 589-ФЗ "О внесении изменений в Кодекс Российской Федерации об ад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министративных правонарушениях"</w:t>
      </w: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Размещение и обновление банками, МФЦ, иными организациями в случаях, определенных федеральными законами, биометрических</w:t>
      </w: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персональных данных субъекта персональных данных в ЕСИА с нарушением установленных требований повлечет 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аложение штрафа на должностных лиц в размере от 100 тысяч до 300 тысяч рублей; на юридических лиц - от 500 тысяч до 1 миллиона рублей.</w:t>
      </w: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Также усилена административная ответственность за обработку</w:t>
      </w: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персональных данных без согласия в письменной форме субъекта</w:t>
      </w:r>
    </w:p>
    <w:p w:rsidR="006C2E22" w:rsidRDefault="00DD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:rsidR="006C2E22" w:rsidRDefault="006C2E22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22" w:rsidRDefault="00DD386E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br w:type="page"/>
      </w:r>
    </w:p>
    <w:p w:rsidR="006C2E22" w:rsidRDefault="006C2E22">
      <w:pPr>
        <w:spacing w:after="0" w:line="240" w:lineRule="auto"/>
        <w:ind w:firstLine="709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DD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Новосибирский транспортный прокурор разъясняет:  </w:t>
      </w:r>
      <w:r>
        <w:rPr>
          <w:rFonts w:ascii="Times New Roman" w:hAnsi="Times New Roman" w:cs="Times New Roman"/>
          <w:b/>
          <w:bCs/>
          <w:sz w:val="26"/>
          <w:szCs w:val="26"/>
        </w:rPr>
        <w:t>Даны разъяснения по вопросу контроля и учета внешнеторговых бартерных сделок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E22" w:rsidRDefault="00DD386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Информации ФТС России от 06.04.2023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 вопросах контроля и учета сделок, совершаемых при внешнеторговой деятельности и предусматривающих обмен товарами, услугами, работами и интеллектуальной собственностью, условиями которых предусмотрен вывоз товаров из Российской Федерации» сообщается, в ч</w:t>
      </w:r>
      <w:r>
        <w:rPr>
          <w:rFonts w:ascii="Times New Roman" w:hAnsi="Times New Roman" w:cs="Times New Roman"/>
          <w:sz w:val="26"/>
          <w:szCs w:val="26"/>
        </w:rPr>
        <w:t>астности, что согласно Распоряжению ФТС России от 26.03.2013 № 92-р «Об утверждении формы документа учета внешнеторговой бартерной сделки и порядка ее заполнения» учет внешнеторговых бартерных сделок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осуществляет уполномоченный таможенный орган путем самос</w:t>
      </w:r>
      <w:r>
        <w:rPr>
          <w:rFonts w:ascii="Times New Roman" w:hAnsi="Times New Roman" w:cs="Times New Roman"/>
          <w:sz w:val="26"/>
          <w:szCs w:val="26"/>
        </w:rPr>
        <w:t>тоятельного формирования документа учета внешнеторговой бартерной сделки на основании сведений, в том числе указанных в декларациях на товары. Для заполнения данного документа таможенный орган запрашивает в письменном виде у российских юридических и физиче</w:t>
      </w:r>
      <w:r>
        <w:rPr>
          <w:rFonts w:ascii="Times New Roman" w:hAnsi="Times New Roman" w:cs="Times New Roman"/>
          <w:sz w:val="26"/>
          <w:szCs w:val="26"/>
        </w:rPr>
        <w:t xml:space="preserve">ских лиц документы, установленные Правилами осуществления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внешнеторговыми бартерными сделками и их учета, утвержденными Постановлением Правительства РФ от 22.11.2012 № 1207. </w:t>
      </w:r>
    </w:p>
    <w:p w:rsidR="006C2E22" w:rsidRDefault="00DD386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контроля и учета внешнеторговых бартерных сделок у российских юридических и физических лиц могут быть запрошены только те документы, которые используются субъектами предпринимательской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для учета своих хозяйственны</w:t>
      </w:r>
      <w:r>
        <w:rPr>
          <w:rFonts w:ascii="Times New Roman" w:hAnsi="Times New Roman" w:cs="Times New Roman"/>
          <w:sz w:val="26"/>
          <w:szCs w:val="26"/>
        </w:rPr>
        <w:t xml:space="preserve">х операций в соответствии с правилами бухгалтерского учета и обычаями делового оборота. </w:t>
      </w:r>
    </w:p>
    <w:p w:rsidR="006C2E22" w:rsidRDefault="00DD386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заключенный договор (контракт) подпадает под требование Инструкции Банка России от 16.08.2017 № 181-И, то в разделе 6 документа учета внешнеторговой бартерной сде</w:t>
      </w:r>
      <w:r>
        <w:rPr>
          <w:rFonts w:ascii="Times New Roman" w:hAnsi="Times New Roman" w:cs="Times New Roman"/>
          <w:sz w:val="26"/>
          <w:szCs w:val="26"/>
        </w:rPr>
        <w:t xml:space="preserve">лки таможенный орган отражает сведения о его постановке на учет в уполномоченном банке. </w:t>
      </w:r>
    </w:p>
    <w:p w:rsidR="006C2E22" w:rsidRDefault="006C2E22">
      <w:pPr>
        <w:spacing w:after="0" w:line="240" w:lineRule="auto"/>
        <w:rPr>
          <w:sz w:val="26"/>
          <w:szCs w:val="26"/>
        </w:rPr>
      </w:pPr>
    </w:p>
    <w:p w:rsidR="006C2E22" w:rsidRDefault="00DD386E">
      <w:pPr>
        <w:spacing w:line="240" w:lineRule="auto"/>
        <w:rPr>
          <w:sz w:val="26"/>
          <w:szCs w:val="26"/>
        </w:rPr>
      </w:pPr>
      <w:r>
        <w:br w:type="page"/>
      </w:r>
    </w:p>
    <w:p w:rsidR="006C2E22" w:rsidRDefault="00DD386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  Новосибирский транспортный прокурор разъясняет:  </w:t>
      </w:r>
      <w:r>
        <w:rPr>
          <w:rFonts w:ascii="Times New Roman" w:hAnsi="Times New Roman" w:cs="Times New Roman"/>
          <w:b/>
          <w:bCs/>
          <w:sz w:val="26"/>
          <w:szCs w:val="26"/>
        </w:rPr>
        <w:t>Уточнили разъяснения о порядке применения конфискации имущества в уголовном судопроизводстве</w:t>
      </w:r>
    </w:p>
    <w:tbl>
      <w:tblPr>
        <w:tblW w:w="5000" w:type="pct"/>
        <w:tblLayout w:type="fixed"/>
        <w:tblCellMar>
          <w:left w:w="0" w:type="dxa"/>
          <w:right w:w="150" w:type="dxa"/>
        </w:tblCellMar>
        <w:tblLook w:val="04A0" w:firstRow="1" w:lastRow="0" w:firstColumn="1" w:lastColumn="0" w:noHBand="0" w:noVBand="1"/>
      </w:tblPr>
      <w:tblGrid>
        <w:gridCol w:w="179"/>
        <w:gridCol w:w="9176"/>
      </w:tblGrid>
      <w:tr w:rsidR="006C2E22">
        <w:tc>
          <w:tcPr>
            <w:tcW w:w="179" w:type="dxa"/>
          </w:tcPr>
          <w:p w:rsidR="006C2E22" w:rsidRDefault="006C2E22">
            <w:pPr>
              <w:spacing w:after="1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75" w:type="dxa"/>
            <w:tcMar>
              <w:right w:w="0" w:type="dxa"/>
            </w:tcMar>
            <w:vAlign w:val="center"/>
          </w:tcPr>
          <w:p w:rsidR="006C2E22" w:rsidRDefault="00DD386E">
            <w:pPr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енума Верховного Суда РФ от 12.12.2023 N 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"О внесении изменений в постановление Пленума Верховного Суда Российской Федерации от 14 июня 2018 года № 17 "О некоторых вопросах, связанных с применением конфискации имущества в уголовном судопроизводстве"</w:t>
            </w:r>
          </w:p>
        </w:tc>
      </w:tr>
    </w:tbl>
    <w:p w:rsidR="006C2E22" w:rsidRDefault="00DD38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</w:t>
      </w:r>
      <w:r>
        <w:rPr>
          <w:rFonts w:ascii="Times New Roman" w:hAnsi="Times New Roman" w:cs="Times New Roman"/>
          <w:sz w:val="26"/>
          <w:szCs w:val="26"/>
        </w:rPr>
        <w:t>астности, указано, что может быть признано доходами от денег, ценностей и иного имущества, предусмотренных в пунктах "а" и "б" части 1 статьи 104.1 УК РФ.</w:t>
      </w:r>
    </w:p>
    <w:p w:rsidR="006C2E22" w:rsidRDefault="00DD38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Предусмотрено, что оборудованием или иными средствами совершения преступления могут быть признаны так</w:t>
      </w:r>
      <w:r>
        <w:rPr>
          <w:rFonts w:ascii="Times New Roman" w:hAnsi="Times New Roman" w:cs="Times New Roman"/>
          <w:sz w:val="26"/>
          <w:szCs w:val="26"/>
        </w:rPr>
        <w:t>же различные электронные устройства, в том числе мобильные телефоны, с использованием которых обвиняемый, например, подыскал соучастников преступления, вступил с ними в сговор и обсуждал детали преступления.</w:t>
      </w:r>
    </w:p>
    <w:p w:rsidR="006C2E22" w:rsidRDefault="00DD386E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Отмечено, что принятые судом в иных видах судопр</w:t>
      </w:r>
      <w:r>
        <w:rPr>
          <w:rFonts w:ascii="Times New Roman" w:hAnsi="Times New Roman" w:cs="Times New Roman"/>
          <w:sz w:val="26"/>
          <w:szCs w:val="26"/>
        </w:rPr>
        <w:t>оизводства в отношении предмета, подлежащего конфискации по уголовному делу, обеспечительные меры, как и наличие обременения, не относятся к числу причин, исключающих конфискацию данного предмета</w:t>
      </w:r>
      <w:r>
        <w:rPr>
          <w:sz w:val="26"/>
          <w:szCs w:val="26"/>
        </w:rPr>
        <w:t>.</w:t>
      </w:r>
    </w:p>
    <w:p w:rsidR="006C2E22" w:rsidRDefault="006C2E22">
      <w:pPr>
        <w:spacing w:after="0" w:line="240" w:lineRule="auto"/>
        <w:rPr>
          <w:sz w:val="26"/>
          <w:szCs w:val="26"/>
        </w:rPr>
      </w:pPr>
    </w:p>
    <w:p w:rsidR="006C2E22" w:rsidRDefault="00DD386E">
      <w:pPr>
        <w:spacing w:line="240" w:lineRule="auto"/>
        <w:rPr>
          <w:sz w:val="26"/>
          <w:szCs w:val="26"/>
        </w:rPr>
      </w:pPr>
      <w:r>
        <w:br w:type="page"/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12. транспортный прокурор разъясняет: Президент подписал новый закон о занятости населения </w:t>
      </w:r>
    </w:p>
    <w:tbl>
      <w:tblPr>
        <w:tblW w:w="5000" w:type="pct"/>
        <w:tblLayout w:type="fixed"/>
        <w:tblCellMar>
          <w:left w:w="0" w:type="dxa"/>
          <w:right w:w="150" w:type="dxa"/>
        </w:tblCellMar>
        <w:tblLook w:val="04A0" w:firstRow="1" w:lastRow="0" w:firstColumn="1" w:lastColumn="0" w:noHBand="0" w:noVBand="1"/>
      </w:tblPr>
      <w:tblGrid>
        <w:gridCol w:w="335"/>
        <w:gridCol w:w="9020"/>
      </w:tblGrid>
      <w:tr w:rsidR="006C2E22">
        <w:tc>
          <w:tcPr>
            <w:tcW w:w="335" w:type="dxa"/>
          </w:tcPr>
          <w:p w:rsidR="006C2E22" w:rsidRDefault="006C2E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19" w:type="dxa"/>
            <w:tcMar>
              <w:right w:w="0" w:type="dxa"/>
            </w:tcMar>
            <w:vAlign w:val="center"/>
          </w:tcPr>
          <w:p w:rsidR="006C2E22" w:rsidRDefault="00DD3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12.12.2023 № 565-ФЗ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"О занятости населения в Российской Федерации" </w:t>
            </w:r>
          </w:p>
        </w:tc>
      </w:tr>
    </w:tbl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 закрепляет определения таких понятий, как "граждане, впервые ищущие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работу", "граждане, находящиеся под риском увольнения" и др. </w:t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Определяются организационные основы противодействия нелегальной занятости, устанавливаются размеры минимальной и максимальной величин пособия по безработице, предусматриваются специальные мероп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риятия по содействию занятости инвалидов. </w:t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Правительство и регионы наделяются правом разработки мер, направленных на содействие приоритетному трудоустройству граждан, завершивших прохождение военной службы. </w:t>
      </w:r>
    </w:p>
    <w:p w:rsidR="006C2E22" w:rsidRDefault="00DD3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 вступает в силу с 1 января 2024 года, за исключением положений, для которых установлены иные сроки вступления их в силу. </w:t>
      </w:r>
    </w:p>
    <w:p w:rsidR="006C2E22" w:rsidRDefault="006C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2E22" w:rsidRDefault="006C2E22">
      <w:pPr>
        <w:spacing w:after="0" w:line="240" w:lineRule="auto"/>
        <w:rPr>
          <w:sz w:val="26"/>
          <w:szCs w:val="26"/>
        </w:rPr>
      </w:pPr>
    </w:p>
    <w:p w:rsidR="006C2E22" w:rsidRDefault="006C2E22">
      <w:pPr>
        <w:spacing w:line="240" w:lineRule="auto"/>
        <w:rPr>
          <w:sz w:val="26"/>
          <w:szCs w:val="26"/>
        </w:rPr>
      </w:pPr>
    </w:p>
    <w:p w:rsidR="006C2E22" w:rsidRDefault="006C2E22">
      <w:pPr>
        <w:spacing w:after="0" w:line="240" w:lineRule="auto"/>
        <w:rPr>
          <w:sz w:val="36"/>
        </w:rPr>
      </w:pPr>
    </w:p>
    <w:sectPr w:rsidR="006C2E22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roman"/>
    <w:pitch w:val="variable"/>
  </w:font>
  <w:font w:name="inherit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22"/>
    <w:rsid w:val="000A3FF6"/>
    <w:rsid w:val="006C2E22"/>
    <w:rsid w:val="00D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575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4575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575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4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55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E45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AD55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575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4575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575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4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55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E45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AD55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C88D-9CF3-4846-BBF7-438221F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2024-09-26T09:06:00Z</dcterms:created>
  <dcterms:modified xsi:type="dcterms:W3CDTF">2024-09-26T09:06:00Z</dcterms:modified>
  <dc:language>ru-RU</dc:language>
</cp:coreProperties>
</file>