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4D10CB2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0572E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04.07.2024 № 867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0E921DA9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905F5B" w:rsidRPr="00905F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AB5EC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</w:t>
            </w:r>
            <w:r w:rsidR="00D75CD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AB5EC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</w:t>
            </w:r>
            <w:r w:rsidR="009B5D98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</w:t>
            </w:r>
            <w:r w:rsidR="00AB5EC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9B5D98">
              <w:rPr>
                <w:rFonts w:ascii="Times New Roman" w:hAnsi="Times New Roman" w:cs="Times New Roman"/>
                <w:sz w:val="28"/>
                <w:szCs w:val="28"/>
              </w:rPr>
              <w:t xml:space="preserve"> города Оби Новосибирской области</w:t>
            </w:r>
            <w:r w:rsidR="009B5D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AB5EC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22.12.2022 г. № 1847</w:t>
            </w:r>
            <w:r w:rsidR="00905F5B" w:rsidRPr="00905F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255287FB" w14:textId="16889A4A" w:rsidR="00D75CD4" w:rsidRPr="000E4BAC" w:rsidRDefault="008F47C8" w:rsidP="00D75CD4">
      <w:pPr>
        <w:spacing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0312A1">
        <w:rPr>
          <w:rFonts w:ascii="Times New Roman" w:hAnsi="Times New Roman" w:cs="Times New Roman"/>
          <w:sz w:val="28"/>
          <w:szCs w:val="28"/>
        </w:rPr>
        <w:t xml:space="preserve"> В целях стимулирования повышения качества работы учреждений </w:t>
      </w:r>
      <w:r w:rsidR="000F0C23" w:rsidRPr="000F0C23">
        <w:rPr>
          <w:rFonts w:ascii="Times New Roman" w:hAnsi="Times New Roman" w:cs="Times New Roman"/>
          <w:sz w:val="28"/>
          <w:szCs w:val="28"/>
        </w:rPr>
        <w:t>бухгалтерского учета и отчетности города Оби Новосибирской области</w:t>
      </w:r>
      <w:r w:rsidR="00D75CD4">
        <w:rPr>
          <w:rFonts w:ascii="Times New Roman" w:hAnsi="Times New Roman" w:cs="Times New Roman"/>
          <w:sz w:val="28"/>
          <w:szCs w:val="28"/>
        </w:rPr>
        <w:t xml:space="preserve">, руководствуясь статьями 134, 144 и 145 Трудового кодекса Российской Федерации, </w:t>
      </w:r>
    </w:p>
    <w:p w14:paraId="4D329ACA" w14:textId="3EB7BE17" w:rsidR="005235EC" w:rsidRPr="00FB2C48" w:rsidRDefault="000E4BAC" w:rsidP="00994C3F">
      <w:pPr>
        <w:spacing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E4BAC">
        <w:rPr>
          <w:rFonts w:ascii="Times New Roman" w:hAnsi="Times New Roman" w:cs="Times New Roman"/>
          <w:sz w:val="28"/>
          <w:szCs w:val="28"/>
        </w:rPr>
        <w:t>статьями 24, 26 Устава муниципального образования городского округа города Оби Новосибирской области</w:t>
      </w:r>
      <w:r w:rsidR="00D364B8">
        <w:rPr>
          <w:rFonts w:ascii="Times New Roman" w:hAnsi="Times New Roman" w:cs="Times New Roman"/>
          <w:sz w:val="28"/>
          <w:szCs w:val="28"/>
        </w:rPr>
        <w:t>,</w:t>
      </w:r>
      <w:r w:rsidR="005B710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BE1A4C3" w14:textId="09740463" w:rsidR="00D75CD4" w:rsidRDefault="00DB7346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DB7346">
        <w:rPr>
          <w:rFonts w:ascii="Times New Roman" w:hAnsi="Times New Roman" w:cs="Times New Roman"/>
          <w:sz w:val="28"/>
          <w:szCs w:val="28"/>
        </w:rPr>
        <w:t xml:space="preserve">1. </w:t>
      </w:r>
      <w:r w:rsidR="00AB5EC6">
        <w:rPr>
          <w:rFonts w:ascii="Times New Roman" w:hAnsi="Times New Roman" w:cs="Times New Roman"/>
          <w:sz w:val="28"/>
          <w:szCs w:val="28"/>
        </w:rPr>
        <w:t>Внести в Положение об оплате труда работников муниципальных казенных и бюджетных учреждений бухгалтерского учета и отчетности города Оби Новосибирской области, утвержденное постановлением администрации города Оби</w:t>
      </w:r>
      <w:r w:rsidR="000F32E6">
        <w:rPr>
          <w:rFonts w:ascii="Times New Roman" w:hAnsi="Times New Roman" w:cs="Times New Roman"/>
          <w:sz w:val="28"/>
          <w:szCs w:val="28"/>
        </w:rPr>
        <w:t xml:space="preserve"> Новосибирской области от 22.12.2022 г. № 1847, </w:t>
      </w:r>
      <w:r w:rsidR="00D75CD4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14:paraId="188A0A80" w14:textId="60D5ADFB" w:rsidR="002242D4" w:rsidRDefault="00D75CD4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0F32E6">
        <w:rPr>
          <w:rFonts w:ascii="Times New Roman" w:hAnsi="Times New Roman" w:cs="Times New Roman"/>
          <w:sz w:val="28"/>
          <w:szCs w:val="28"/>
        </w:rPr>
        <w:t xml:space="preserve">пункт 37 </w:t>
      </w:r>
      <w:r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="000F32E6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14:paraId="5FCF7BAA" w14:textId="373BF023" w:rsidR="005614F7" w:rsidRPr="005614F7" w:rsidRDefault="005614F7" w:rsidP="00B75CB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«</w:t>
      </w:r>
      <w:r w:rsidR="00684EE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37. </w:t>
      </w:r>
      <w:r w:rsidRPr="005614F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Качественные показатели эффективности деятельности учреждения:</w:t>
      </w:r>
    </w:p>
    <w:p w14:paraId="2E21705B" w14:textId="77777777" w:rsidR="00994C3F" w:rsidRPr="005614F7" w:rsidRDefault="00994C3F" w:rsidP="00B75CB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6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431"/>
        <w:gridCol w:w="2693"/>
        <w:gridCol w:w="1701"/>
        <w:gridCol w:w="1163"/>
      </w:tblGrid>
      <w:tr w:rsidR="005614F7" w:rsidRPr="005614F7" w14:paraId="353B661C" w14:textId="77777777" w:rsidTr="00B75CB9">
        <w:trPr>
          <w:trHeight w:val="1853"/>
        </w:trPr>
        <w:tc>
          <w:tcPr>
            <w:tcW w:w="709" w:type="dxa"/>
            <w:vAlign w:val="center"/>
          </w:tcPr>
          <w:p w14:paraId="5903AC1E" w14:textId="77777777" w:rsidR="005614F7" w:rsidRPr="005614F7" w:rsidRDefault="005614F7" w:rsidP="00B75CB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7CEEE7D7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№ п/п</w:t>
            </w:r>
          </w:p>
        </w:tc>
        <w:tc>
          <w:tcPr>
            <w:tcW w:w="3431" w:type="dxa"/>
            <w:vAlign w:val="center"/>
          </w:tcPr>
          <w:p w14:paraId="7441275A" w14:textId="77777777" w:rsidR="005614F7" w:rsidRPr="005614F7" w:rsidRDefault="005614F7" w:rsidP="00B75CB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Перечень</w:t>
            </w:r>
          </w:p>
          <w:p w14:paraId="028F9877" w14:textId="77777777" w:rsidR="005614F7" w:rsidRPr="005614F7" w:rsidRDefault="005614F7" w:rsidP="00B75CB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показателей</w:t>
            </w:r>
          </w:p>
        </w:tc>
        <w:tc>
          <w:tcPr>
            <w:tcW w:w="2693" w:type="dxa"/>
            <w:vAlign w:val="center"/>
          </w:tcPr>
          <w:p w14:paraId="59D8CEF1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Критерий оценки показателя</w:t>
            </w:r>
          </w:p>
        </w:tc>
        <w:tc>
          <w:tcPr>
            <w:tcW w:w="1701" w:type="dxa"/>
            <w:vAlign w:val="center"/>
          </w:tcPr>
          <w:p w14:paraId="6D87D8DB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Размер ежемесячной надбавки, %</w:t>
            </w:r>
          </w:p>
        </w:tc>
        <w:tc>
          <w:tcPr>
            <w:tcW w:w="1163" w:type="dxa"/>
            <w:vAlign w:val="center"/>
          </w:tcPr>
          <w:p w14:paraId="0F972A38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Период оценки</w:t>
            </w:r>
          </w:p>
        </w:tc>
      </w:tr>
      <w:tr w:rsidR="005614F7" w:rsidRPr="005614F7" w14:paraId="29912119" w14:textId="77777777" w:rsidTr="00B75CB9">
        <w:trPr>
          <w:trHeight w:val="1065"/>
        </w:trPr>
        <w:tc>
          <w:tcPr>
            <w:tcW w:w="709" w:type="dxa"/>
            <w:vMerge w:val="restart"/>
            <w:vAlign w:val="center"/>
          </w:tcPr>
          <w:p w14:paraId="42C909C0" w14:textId="3B62DA24" w:rsidR="005614F7" w:rsidRPr="00E76B66" w:rsidRDefault="00C67611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3431" w:type="dxa"/>
            <w:vMerge w:val="restart"/>
            <w:vAlign w:val="center"/>
          </w:tcPr>
          <w:p w14:paraId="3587F2D4" w14:textId="1004BB08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Обеспечение применени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я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единых методов и способов ведения бухгалтерского учета, установленных с соблюдением требований законодательства Российской Федерации (федеральных стандартов бухгалтерского учета 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 xml:space="preserve">государственных финансов) в рамках единой учетной политики при централизации учета правовыми актами </w:t>
            </w:r>
            <w:r w:rsidR="008752E0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инистерства </w:t>
            </w:r>
            <w:r w:rsidR="008752E0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ф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инансов</w:t>
            </w:r>
          </w:p>
        </w:tc>
        <w:tc>
          <w:tcPr>
            <w:tcW w:w="2693" w:type="dxa"/>
            <w:vAlign w:val="center"/>
          </w:tcPr>
          <w:p w14:paraId="3B7B6DF5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Отсутствие фактов недостоверного отражения (по вине сотрудников Учреждения) фактов хозяйственной жизни субъектов централизованного учета в регистрах бюджетного учета</w:t>
            </w:r>
          </w:p>
        </w:tc>
        <w:tc>
          <w:tcPr>
            <w:tcW w:w="1701" w:type="dxa"/>
            <w:vAlign w:val="center"/>
          </w:tcPr>
          <w:p w14:paraId="093619A9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25</w:t>
            </w:r>
          </w:p>
          <w:p w14:paraId="7B833112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1163" w:type="dxa"/>
            <w:vMerge w:val="restart"/>
            <w:vAlign w:val="center"/>
          </w:tcPr>
          <w:p w14:paraId="72FE8715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1EB77F85" w14:textId="77777777" w:rsidTr="00B75CB9">
        <w:trPr>
          <w:trHeight w:val="915"/>
        </w:trPr>
        <w:tc>
          <w:tcPr>
            <w:tcW w:w="709" w:type="dxa"/>
            <w:vMerge/>
            <w:vAlign w:val="center"/>
          </w:tcPr>
          <w:p w14:paraId="3FAF8849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4C0C27F1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  <w:vAlign w:val="center"/>
          </w:tcPr>
          <w:p w14:paraId="09653713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Наличие недостоверного отражения (по вине сотрудников Учреждения) фактов хозяйственной жизни субъектов централизованного учета в регистрах бюджетного учета приведших к формированию недостоверной отчетности.</w:t>
            </w:r>
          </w:p>
        </w:tc>
        <w:tc>
          <w:tcPr>
            <w:tcW w:w="1701" w:type="dxa"/>
            <w:vAlign w:val="center"/>
          </w:tcPr>
          <w:p w14:paraId="0AFE844F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</w:p>
        </w:tc>
        <w:tc>
          <w:tcPr>
            <w:tcW w:w="1163" w:type="dxa"/>
            <w:vMerge/>
            <w:vAlign w:val="center"/>
          </w:tcPr>
          <w:p w14:paraId="61268B36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226887FA" w14:textId="77777777" w:rsidTr="00B75CB9">
        <w:trPr>
          <w:trHeight w:val="1696"/>
        </w:trPr>
        <w:tc>
          <w:tcPr>
            <w:tcW w:w="709" w:type="dxa"/>
            <w:vMerge w:val="restart"/>
            <w:vAlign w:val="center"/>
          </w:tcPr>
          <w:p w14:paraId="18568827" w14:textId="471D43D5" w:rsidR="008752E0" w:rsidRDefault="008752E0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2</w:t>
            </w:r>
          </w:p>
          <w:p w14:paraId="00A3D02F" w14:textId="29863F7A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 w:val="restart"/>
            <w:vAlign w:val="center"/>
          </w:tcPr>
          <w:p w14:paraId="27765DC3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Обеспечение своевременного и достоверного формирования платежных поручений (заявок на кассовый расход) по исполнению фактов хозяйственной жизни субъектов централизованного учета в соответствии с утвержденным в рамках единой учетной политики Графиком документооборота</w:t>
            </w:r>
          </w:p>
        </w:tc>
        <w:tc>
          <w:tcPr>
            <w:tcW w:w="2693" w:type="dxa"/>
            <w:vAlign w:val="center"/>
          </w:tcPr>
          <w:p w14:paraId="02F7CEA6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 фактов недостоверного и несвоевременного формирования платежных поручений (заявок на кассовый расход) по исполнению фактов хозяйственной жизни субъектов централизованного учета в соответствии с утвержденным в рамках единой учетной политики Графиком документооборота (по вине сотрудников Учреждения)</w:t>
            </w:r>
          </w:p>
        </w:tc>
        <w:tc>
          <w:tcPr>
            <w:tcW w:w="1701" w:type="dxa"/>
            <w:vAlign w:val="center"/>
          </w:tcPr>
          <w:p w14:paraId="77BF55E2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25</w:t>
            </w:r>
          </w:p>
        </w:tc>
        <w:tc>
          <w:tcPr>
            <w:tcW w:w="1163" w:type="dxa"/>
            <w:vAlign w:val="center"/>
          </w:tcPr>
          <w:p w14:paraId="024EC1AC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432BCDA9" w14:textId="77777777" w:rsidTr="00B75CB9">
        <w:trPr>
          <w:trHeight w:val="1335"/>
        </w:trPr>
        <w:tc>
          <w:tcPr>
            <w:tcW w:w="709" w:type="dxa"/>
            <w:vMerge/>
            <w:vAlign w:val="center"/>
          </w:tcPr>
          <w:p w14:paraId="1F3546E9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59EE0EE4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  <w:vAlign w:val="center"/>
          </w:tcPr>
          <w:p w14:paraId="1CBE2E27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Наличие фактов недостоверного и несвоевременного формирования платежных поручений (заявок на кассовый расход) по исполнению фактов хозяйственной 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жизни субъектов централизованного учета в соответствии с утвержденным в рамках единой учетной политики Графиком документооборота (по вине сотрудников Учреждения)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46FD422B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0</w:t>
            </w:r>
          </w:p>
        </w:tc>
        <w:tc>
          <w:tcPr>
            <w:tcW w:w="1163" w:type="dxa"/>
            <w:tcBorders>
              <w:top w:val="nil"/>
            </w:tcBorders>
            <w:vAlign w:val="center"/>
          </w:tcPr>
          <w:p w14:paraId="7CE047B4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790C8A36" w14:textId="77777777" w:rsidTr="00B75CB9">
        <w:trPr>
          <w:trHeight w:val="765"/>
        </w:trPr>
        <w:tc>
          <w:tcPr>
            <w:tcW w:w="709" w:type="dxa"/>
            <w:vMerge w:val="restart"/>
            <w:vAlign w:val="center"/>
          </w:tcPr>
          <w:p w14:paraId="027D9D3F" w14:textId="48C01E04" w:rsidR="005614F7" w:rsidRPr="005614F7" w:rsidRDefault="008752E0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3</w:t>
            </w:r>
          </w:p>
        </w:tc>
        <w:tc>
          <w:tcPr>
            <w:tcW w:w="3431" w:type="dxa"/>
            <w:vMerge w:val="restart"/>
            <w:vAlign w:val="center"/>
          </w:tcPr>
          <w:p w14:paraId="28062CFD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 просроченной дебиторской задолженности и кредиторской задолженности по вине учреждения</w:t>
            </w:r>
          </w:p>
        </w:tc>
        <w:tc>
          <w:tcPr>
            <w:tcW w:w="2693" w:type="dxa"/>
            <w:vAlign w:val="center"/>
          </w:tcPr>
          <w:p w14:paraId="0FF8BB1C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 фактов просроченной дебиторской задолженности и кредиторской задолженности по вине учреждения</w:t>
            </w:r>
          </w:p>
        </w:tc>
        <w:tc>
          <w:tcPr>
            <w:tcW w:w="1701" w:type="dxa"/>
            <w:vAlign w:val="center"/>
          </w:tcPr>
          <w:p w14:paraId="542ED971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20</w:t>
            </w:r>
          </w:p>
        </w:tc>
        <w:tc>
          <w:tcPr>
            <w:tcW w:w="1163" w:type="dxa"/>
            <w:vMerge w:val="restart"/>
            <w:vAlign w:val="center"/>
          </w:tcPr>
          <w:p w14:paraId="2458ADB4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052C13E8" w14:textId="77777777" w:rsidTr="00B75CB9">
        <w:trPr>
          <w:trHeight w:val="715"/>
        </w:trPr>
        <w:tc>
          <w:tcPr>
            <w:tcW w:w="709" w:type="dxa"/>
            <w:vMerge/>
            <w:vAlign w:val="center"/>
          </w:tcPr>
          <w:p w14:paraId="711F1FD1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52148BD6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  <w:vAlign w:val="center"/>
          </w:tcPr>
          <w:p w14:paraId="794574C5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Наличие фактов просроченной дебиторской задолженности и кредиторской задолженности по вине учреждения</w:t>
            </w:r>
          </w:p>
        </w:tc>
        <w:tc>
          <w:tcPr>
            <w:tcW w:w="1701" w:type="dxa"/>
            <w:vAlign w:val="center"/>
          </w:tcPr>
          <w:p w14:paraId="789D9636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</w:p>
        </w:tc>
        <w:tc>
          <w:tcPr>
            <w:tcW w:w="1163" w:type="dxa"/>
            <w:vMerge/>
            <w:vAlign w:val="center"/>
          </w:tcPr>
          <w:p w14:paraId="50987E24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6B6E71F4" w14:textId="77777777" w:rsidTr="00B75CB9">
        <w:trPr>
          <w:trHeight w:val="849"/>
        </w:trPr>
        <w:tc>
          <w:tcPr>
            <w:tcW w:w="709" w:type="dxa"/>
            <w:vMerge w:val="restart"/>
            <w:vAlign w:val="center"/>
          </w:tcPr>
          <w:p w14:paraId="0704632E" w14:textId="0D4C5EEA" w:rsidR="005614F7" w:rsidRPr="005614F7" w:rsidRDefault="008752E0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  <w:tc>
          <w:tcPr>
            <w:tcW w:w="3431" w:type="dxa"/>
            <w:vMerge w:val="restart"/>
            <w:vAlign w:val="center"/>
          </w:tcPr>
          <w:p w14:paraId="4E5DA285" w14:textId="1DC63ACA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 нарушения по срокам и содержанию финансовых документов и статистических отчетов, в т</w:t>
            </w:r>
            <w:r w:rsidR="007F02C4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ом </w:t>
            </w:r>
            <w:r w:rsidR="00B75CB9"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</w:t>
            </w:r>
            <w:r w:rsidR="00B75CB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исле</w:t>
            </w:r>
            <w:r w:rsidR="00B75CB9"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ФНС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,</w:t>
            </w:r>
            <w:r w:rsidR="00B75CB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3428AD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Социального фонда России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и др</w:t>
            </w:r>
            <w:r w:rsidR="007F02C4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угих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обслуживаемых учреждений</w:t>
            </w:r>
          </w:p>
        </w:tc>
        <w:tc>
          <w:tcPr>
            <w:tcW w:w="2693" w:type="dxa"/>
            <w:vAlign w:val="center"/>
          </w:tcPr>
          <w:p w14:paraId="793094BD" w14:textId="3AB92E92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 фактов нарушения по срокам и содержанию финансовых документов и статистических отчетов, в т</w:t>
            </w:r>
            <w:r w:rsidR="007F02C4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ом </w:t>
            </w:r>
            <w:r w:rsidR="00B75CB9"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</w:t>
            </w:r>
            <w:r w:rsidR="00B75CB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исле</w:t>
            </w:r>
            <w:r w:rsidR="00B75CB9"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ФНС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, </w:t>
            </w:r>
            <w:r w:rsidR="003428AD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Социального фонда России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и др</w:t>
            </w:r>
            <w:r w:rsidR="007F02C4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угих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обслуживаемых учреждений</w:t>
            </w:r>
          </w:p>
        </w:tc>
        <w:tc>
          <w:tcPr>
            <w:tcW w:w="1701" w:type="dxa"/>
            <w:vAlign w:val="center"/>
          </w:tcPr>
          <w:p w14:paraId="57C7215A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25</w:t>
            </w:r>
          </w:p>
        </w:tc>
        <w:tc>
          <w:tcPr>
            <w:tcW w:w="1163" w:type="dxa"/>
            <w:vMerge w:val="restart"/>
            <w:vAlign w:val="center"/>
          </w:tcPr>
          <w:p w14:paraId="0D575BEE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77DDCD66" w14:textId="77777777" w:rsidTr="00B75CB9">
        <w:trPr>
          <w:trHeight w:val="930"/>
        </w:trPr>
        <w:tc>
          <w:tcPr>
            <w:tcW w:w="709" w:type="dxa"/>
            <w:vMerge/>
            <w:vAlign w:val="center"/>
          </w:tcPr>
          <w:p w14:paraId="07169C33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0972FC10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  <w:vAlign w:val="center"/>
          </w:tcPr>
          <w:p w14:paraId="1B3CB9BF" w14:textId="721E89FB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Наличие фактов нарушения по срокам и содержанию финансовых документов и статистических 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отчетов, в т</w:t>
            </w:r>
            <w:r w:rsidR="007F02C4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ом </w:t>
            </w:r>
            <w:r w:rsidR="00B75CB9"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</w:t>
            </w:r>
            <w:r w:rsidR="00B75CB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исле</w:t>
            </w:r>
            <w:r w:rsidR="00B75CB9"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ФНС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, </w:t>
            </w:r>
            <w:r w:rsidR="003428AD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Социального фонда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Р</w:t>
            </w:r>
            <w:r w:rsidR="003428AD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оссии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и др</w:t>
            </w:r>
            <w:r w:rsidR="007F02C4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угих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обслуживаемых учреждений</w:t>
            </w:r>
          </w:p>
        </w:tc>
        <w:tc>
          <w:tcPr>
            <w:tcW w:w="1701" w:type="dxa"/>
            <w:vAlign w:val="center"/>
          </w:tcPr>
          <w:p w14:paraId="03AE9641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0</w:t>
            </w:r>
          </w:p>
        </w:tc>
        <w:tc>
          <w:tcPr>
            <w:tcW w:w="1163" w:type="dxa"/>
            <w:vMerge/>
            <w:vAlign w:val="center"/>
          </w:tcPr>
          <w:p w14:paraId="5BC6E220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77B2DF44" w14:textId="77777777" w:rsidTr="00B75CB9">
        <w:trPr>
          <w:trHeight w:val="1425"/>
        </w:trPr>
        <w:tc>
          <w:tcPr>
            <w:tcW w:w="709" w:type="dxa"/>
            <w:vMerge w:val="restart"/>
            <w:vAlign w:val="center"/>
          </w:tcPr>
          <w:p w14:paraId="131DB1DA" w14:textId="45E1FA38" w:rsidR="005614F7" w:rsidRPr="005614F7" w:rsidRDefault="008752E0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5</w:t>
            </w:r>
          </w:p>
        </w:tc>
        <w:tc>
          <w:tcPr>
            <w:tcW w:w="3431" w:type="dxa"/>
            <w:vMerge w:val="restart"/>
            <w:vAlign w:val="center"/>
          </w:tcPr>
          <w:p w14:paraId="753CABF8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Обеспечение соблюдения сроков, порядка составления и представления бюджетной отчетности, иной обязательной отчетности, формируемой на основании данных бюджетного учета, по обеспечению представления такой отчетности в соответствующие государственные органы</w:t>
            </w:r>
          </w:p>
        </w:tc>
        <w:tc>
          <w:tcPr>
            <w:tcW w:w="2693" w:type="dxa"/>
            <w:vAlign w:val="center"/>
          </w:tcPr>
          <w:p w14:paraId="339E36A4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 фактов не соблюдения сроков, порядка составления и представления бюджетной отчетности, иной обязательной отчетности, формируемой на основании данных бюджетного учета, по обеспечению представления такой отчетности в соответствующие государственные органы</w:t>
            </w:r>
          </w:p>
        </w:tc>
        <w:tc>
          <w:tcPr>
            <w:tcW w:w="1701" w:type="dxa"/>
            <w:vAlign w:val="center"/>
          </w:tcPr>
          <w:p w14:paraId="57A2FAA2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30</w:t>
            </w:r>
          </w:p>
        </w:tc>
        <w:tc>
          <w:tcPr>
            <w:tcW w:w="1163" w:type="dxa"/>
            <w:vMerge w:val="restart"/>
            <w:vAlign w:val="center"/>
          </w:tcPr>
          <w:p w14:paraId="2275F684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  <w:p w14:paraId="227EDB61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4EA95CCC" w14:textId="77777777" w:rsidTr="00B75CB9">
        <w:trPr>
          <w:trHeight w:val="1560"/>
        </w:trPr>
        <w:tc>
          <w:tcPr>
            <w:tcW w:w="709" w:type="dxa"/>
            <w:vMerge/>
            <w:vAlign w:val="center"/>
          </w:tcPr>
          <w:p w14:paraId="242C3B66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4FEF9018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  <w:vAlign w:val="center"/>
          </w:tcPr>
          <w:p w14:paraId="3477D2F8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Наличие фактов не соблюдения сроков, порядка составления и представления бюджетной отчетности, иной обязательной отчетности, формируемой на основании данных бюджетного учета, по обеспечению представления такой отчетности в соответствующие государственные органы</w:t>
            </w:r>
          </w:p>
        </w:tc>
        <w:tc>
          <w:tcPr>
            <w:tcW w:w="1701" w:type="dxa"/>
            <w:vAlign w:val="center"/>
          </w:tcPr>
          <w:p w14:paraId="73E53D4C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</w:p>
        </w:tc>
        <w:tc>
          <w:tcPr>
            <w:tcW w:w="1163" w:type="dxa"/>
            <w:vMerge/>
            <w:vAlign w:val="center"/>
          </w:tcPr>
          <w:p w14:paraId="3C6D7835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338D087D" w14:textId="77777777" w:rsidTr="00B75CB9">
        <w:trPr>
          <w:trHeight w:val="1296"/>
        </w:trPr>
        <w:tc>
          <w:tcPr>
            <w:tcW w:w="709" w:type="dxa"/>
            <w:vMerge w:val="restart"/>
            <w:shd w:val="clear" w:color="auto" w:fill="auto"/>
            <w:vAlign w:val="center"/>
          </w:tcPr>
          <w:p w14:paraId="5259EC41" w14:textId="09490D90" w:rsidR="005614F7" w:rsidRPr="005614F7" w:rsidRDefault="008752E0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6</w:t>
            </w:r>
          </w:p>
        </w:tc>
        <w:tc>
          <w:tcPr>
            <w:tcW w:w="3431" w:type="dxa"/>
            <w:vMerge w:val="restart"/>
            <w:shd w:val="clear" w:color="auto" w:fill="auto"/>
            <w:vAlign w:val="center"/>
          </w:tcPr>
          <w:p w14:paraId="5EC953E6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Отсутствие неурегулированной задолженности по оплате за коммунальные услуги и 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текущим расходам учреждения и обслуживаемых учреждений по договорам об обслуживании.</w:t>
            </w:r>
          </w:p>
        </w:tc>
        <w:tc>
          <w:tcPr>
            <w:tcW w:w="2693" w:type="dxa"/>
            <w:vAlign w:val="center"/>
          </w:tcPr>
          <w:p w14:paraId="6CA49A09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 xml:space="preserve">Отсутствие фактов неурегулированной задолженности по оплате за 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коммунальные услуги и текущим расходам учреждения и обслуживаемых учреждений по договорам об обслуживании</w:t>
            </w:r>
          </w:p>
        </w:tc>
        <w:tc>
          <w:tcPr>
            <w:tcW w:w="1701" w:type="dxa"/>
            <w:vAlign w:val="center"/>
          </w:tcPr>
          <w:p w14:paraId="01B6324D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25</w:t>
            </w:r>
          </w:p>
        </w:tc>
        <w:tc>
          <w:tcPr>
            <w:tcW w:w="1163" w:type="dxa"/>
            <w:vAlign w:val="center"/>
          </w:tcPr>
          <w:p w14:paraId="45B45E28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5933A0A7" w14:textId="77777777" w:rsidTr="00B75CB9">
        <w:trPr>
          <w:trHeight w:val="1380"/>
        </w:trPr>
        <w:tc>
          <w:tcPr>
            <w:tcW w:w="709" w:type="dxa"/>
            <w:vMerge/>
            <w:shd w:val="clear" w:color="auto" w:fill="auto"/>
            <w:vAlign w:val="center"/>
          </w:tcPr>
          <w:p w14:paraId="448B79BA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shd w:val="clear" w:color="auto" w:fill="auto"/>
            <w:vAlign w:val="center"/>
          </w:tcPr>
          <w:p w14:paraId="35C9B800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  <w:vAlign w:val="center"/>
          </w:tcPr>
          <w:p w14:paraId="16A4B344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Наличие фактов неурегулированной задолженности по оплате за коммунальные услуги и текущим расходам учреждения и обслуживаемых учреждений по договорам об обслуживании</w:t>
            </w:r>
          </w:p>
        </w:tc>
        <w:tc>
          <w:tcPr>
            <w:tcW w:w="1701" w:type="dxa"/>
            <w:vAlign w:val="center"/>
          </w:tcPr>
          <w:p w14:paraId="477DF452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</w:p>
        </w:tc>
        <w:tc>
          <w:tcPr>
            <w:tcW w:w="1163" w:type="dxa"/>
            <w:vAlign w:val="center"/>
          </w:tcPr>
          <w:p w14:paraId="4612C59B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13EDFFD8" w14:textId="77777777" w:rsidTr="00B75CB9">
        <w:trPr>
          <w:trHeight w:val="795"/>
        </w:trPr>
        <w:tc>
          <w:tcPr>
            <w:tcW w:w="709" w:type="dxa"/>
            <w:vMerge w:val="restart"/>
            <w:vAlign w:val="center"/>
          </w:tcPr>
          <w:p w14:paraId="2CA6FC3D" w14:textId="529A1146" w:rsidR="005614F7" w:rsidRPr="005614F7" w:rsidRDefault="008752E0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7</w:t>
            </w:r>
          </w:p>
        </w:tc>
        <w:tc>
          <w:tcPr>
            <w:tcW w:w="3431" w:type="dxa"/>
            <w:vMerge w:val="restart"/>
            <w:vAlign w:val="center"/>
          </w:tcPr>
          <w:p w14:paraId="1D277446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Обеспечение своевременного и достоверного начисления и перечисления оплаты труда сотрудникам субъектов централизованного учета, иных выплат и связанных с ними обязательных платежей в бюджеты бюджетной системы Российской федерации</w:t>
            </w:r>
          </w:p>
        </w:tc>
        <w:tc>
          <w:tcPr>
            <w:tcW w:w="2693" w:type="dxa"/>
            <w:vAlign w:val="center"/>
          </w:tcPr>
          <w:p w14:paraId="0DA4592E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 фактов недостоверного начисления и несвоевременного перечисления оплаты труда сотрудникам субъектов централизованного учета, иных выплат и связанных с ними обязательных платежей в бюджеты бюджетной системы Российской федерации (по вине сотрудников Учреждения)</w:t>
            </w:r>
          </w:p>
        </w:tc>
        <w:tc>
          <w:tcPr>
            <w:tcW w:w="1701" w:type="dxa"/>
            <w:vAlign w:val="center"/>
          </w:tcPr>
          <w:p w14:paraId="74FDF294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25</w:t>
            </w:r>
          </w:p>
        </w:tc>
        <w:tc>
          <w:tcPr>
            <w:tcW w:w="1163" w:type="dxa"/>
            <w:vMerge w:val="restart"/>
            <w:vAlign w:val="center"/>
          </w:tcPr>
          <w:p w14:paraId="4D5012CC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57DA713C" w14:textId="77777777" w:rsidTr="00B75CB9">
        <w:trPr>
          <w:trHeight w:val="570"/>
        </w:trPr>
        <w:tc>
          <w:tcPr>
            <w:tcW w:w="709" w:type="dxa"/>
            <w:vMerge/>
            <w:vAlign w:val="center"/>
          </w:tcPr>
          <w:p w14:paraId="2C7CABE1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45DAA93C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  <w:vAlign w:val="center"/>
          </w:tcPr>
          <w:p w14:paraId="709B3C1C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Наличие фактов недостоверного начисления и несвоевременного перечисления оплаты труда 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сотрудникам субъектов централизованного учета, иных выплат и связанных с ними обязательных платежей в бюджеты бюджетной системы Российской федерации (по вине сотрудников Учреждения)</w:t>
            </w:r>
          </w:p>
        </w:tc>
        <w:tc>
          <w:tcPr>
            <w:tcW w:w="1701" w:type="dxa"/>
            <w:vAlign w:val="center"/>
          </w:tcPr>
          <w:p w14:paraId="0E5DEBCC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0</w:t>
            </w:r>
          </w:p>
        </w:tc>
        <w:tc>
          <w:tcPr>
            <w:tcW w:w="1163" w:type="dxa"/>
            <w:vMerge/>
            <w:vAlign w:val="center"/>
          </w:tcPr>
          <w:p w14:paraId="442B9AB2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0639CDDD" w14:textId="77777777" w:rsidTr="00B75CB9">
        <w:trPr>
          <w:trHeight w:val="432"/>
        </w:trPr>
        <w:tc>
          <w:tcPr>
            <w:tcW w:w="709" w:type="dxa"/>
            <w:vMerge w:val="restart"/>
            <w:vAlign w:val="center"/>
          </w:tcPr>
          <w:p w14:paraId="7236EB14" w14:textId="7B957A9A" w:rsidR="005614F7" w:rsidRPr="005614F7" w:rsidRDefault="008752E0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8</w:t>
            </w:r>
          </w:p>
        </w:tc>
        <w:tc>
          <w:tcPr>
            <w:tcW w:w="3431" w:type="dxa"/>
            <w:vMerge w:val="restart"/>
            <w:vAlign w:val="center"/>
          </w:tcPr>
          <w:p w14:paraId="3FE547C4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Выполнение мероприятий по росту средней заработной платы работников учреждения в отчетном периоде по сравнению с предыдущим периодом без учета повышения размера заработной платы в соответствии с решением администрации города Оби Новосибирской области.</w:t>
            </w:r>
          </w:p>
        </w:tc>
        <w:tc>
          <w:tcPr>
            <w:tcW w:w="2693" w:type="dxa"/>
            <w:vAlign w:val="center"/>
          </w:tcPr>
          <w:p w14:paraId="59FEFA73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Да </w:t>
            </w:r>
          </w:p>
        </w:tc>
        <w:tc>
          <w:tcPr>
            <w:tcW w:w="1701" w:type="dxa"/>
            <w:vAlign w:val="center"/>
          </w:tcPr>
          <w:p w14:paraId="25DAFC39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</w:p>
        </w:tc>
        <w:tc>
          <w:tcPr>
            <w:tcW w:w="1163" w:type="dxa"/>
            <w:vMerge w:val="restart"/>
            <w:vAlign w:val="center"/>
          </w:tcPr>
          <w:p w14:paraId="5D0AE681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4A7AF957" w14:textId="77777777" w:rsidTr="00B75CB9">
        <w:trPr>
          <w:trHeight w:val="450"/>
        </w:trPr>
        <w:tc>
          <w:tcPr>
            <w:tcW w:w="709" w:type="dxa"/>
            <w:vMerge/>
            <w:vAlign w:val="center"/>
          </w:tcPr>
          <w:p w14:paraId="729B5972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4CC3532A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  <w:vAlign w:val="center"/>
          </w:tcPr>
          <w:p w14:paraId="7C5A49B2" w14:textId="139D4E9A" w:rsidR="005614F7" w:rsidRPr="005614F7" w:rsidRDefault="007F02C4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</w:t>
            </w:r>
            <w:r w:rsidR="005614F7"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ет</w:t>
            </w:r>
          </w:p>
        </w:tc>
        <w:tc>
          <w:tcPr>
            <w:tcW w:w="1701" w:type="dxa"/>
            <w:vAlign w:val="center"/>
          </w:tcPr>
          <w:p w14:paraId="2ECA30E5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</w:p>
        </w:tc>
        <w:tc>
          <w:tcPr>
            <w:tcW w:w="1163" w:type="dxa"/>
            <w:vMerge/>
            <w:vAlign w:val="center"/>
          </w:tcPr>
          <w:p w14:paraId="1DC28527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6C0EE77D" w14:textId="77777777" w:rsidTr="00B75CB9">
        <w:trPr>
          <w:trHeight w:val="1355"/>
        </w:trPr>
        <w:tc>
          <w:tcPr>
            <w:tcW w:w="709" w:type="dxa"/>
            <w:vMerge w:val="restart"/>
            <w:vAlign w:val="center"/>
          </w:tcPr>
          <w:p w14:paraId="6ABC6614" w14:textId="308D4D6C" w:rsidR="005614F7" w:rsidRPr="005614F7" w:rsidRDefault="008752E0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highlight w:val="yellow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highlight w:val="yellow"/>
                <w:lang w:eastAsia="ru-RU"/>
                <w14:ligatures w14:val="none"/>
              </w:rPr>
              <w:t>9</w:t>
            </w:r>
          </w:p>
        </w:tc>
        <w:tc>
          <w:tcPr>
            <w:tcW w:w="3431" w:type="dxa"/>
            <w:vMerge w:val="restart"/>
            <w:vAlign w:val="center"/>
          </w:tcPr>
          <w:p w14:paraId="58A5078C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highlight w:val="yellow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 фактов несвоевременной и некачественной подготовки документации на проведение аукционов, конкурсов, запросов котировок в соответствии с утвержденным планом-графиком на текущий финансовый год</w:t>
            </w:r>
          </w:p>
        </w:tc>
        <w:tc>
          <w:tcPr>
            <w:tcW w:w="2693" w:type="dxa"/>
            <w:vAlign w:val="center"/>
          </w:tcPr>
          <w:p w14:paraId="4E1F707B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</w:t>
            </w:r>
          </w:p>
          <w:p w14:paraId="272B0ABB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1701" w:type="dxa"/>
            <w:vAlign w:val="center"/>
          </w:tcPr>
          <w:p w14:paraId="39477EED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20</w:t>
            </w:r>
          </w:p>
        </w:tc>
        <w:tc>
          <w:tcPr>
            <w:tcW w:w="1163" w:type="dxa"/>
            <w:vAlign w:val="center"/>
          </w:tcPr>
          <w:p w14:paraId="06DD1F85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50D0045E" w14:textId="77777777" w:rsidTr="00B75CB9">
        <w:trPr>
          <w:trHeight w:val="1620"/>
        </w:trPr>
        <w:tc>
          <w:tcPr>
            <w:tcW w:w="709" w:type="dxa"/>
            <w:vMerge/>
            <w:vAlign w:val="center"/>
          </w:tcPr>
          <w:p w14:paraId="12D38CC4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highlight w:val="yellow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58CBF379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  <w:vAlign w:val="center"/>
          </w:tcPr>
          <w:p w14:paraId="2348529C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Наличие</w:t>
            </w:r>
          </w:p>
        </w:tc>
        <w:tc>
          <w:tcPr>
            <w:tcW w:w="1701" w:type="dxa"/>
            <w:vAlign w:val="center"/>
          </w:tcPr>
          <w:p w14:paraId="2895E27F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</w:p>
        </w:tc>
        <w:tc>
          <w:tcPr>
            <w:tcW w:w="1163" w:type="dxa"/>
            <w:vAlign w:val="center"/>
          </w:tcPr>
          <w:p w14:paraId="191EE1FA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41FD9ABF" w14:textId="77777777" w:rsidTr="00B75CB9">
        <w:trPr>
          <w:trHeight w:val="465"/>
        </w:trPr>
        <w:tc>
          <w:tcPr>
            <w:tcW w:w="709" w:type="dxa"/>
            <w:vAlign w:val="center"/>
          </w:tcPr>
          <w:p w14:paraId="57446E1A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highlight w:val="yellow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10</w:t>
            </w:r>
          </w:p>
        </w:tc>
        <w:tc>
          <w:tcPr>
            <w:tcW w:w="3431" w:type="dxa"/>
            <w:vAlign w:val="center"/>
          </w:tcPr>
          <w:p w14:paraId="7740C11F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highlight w:val="yellow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Обеспечение комплексной безопасности учреждения и получателей социальных услуг</w:t>
            </w:r>
          </w:p>
        </w:tc>
        <w:tc>
          <w:tcPr>
            <w:tcW w:w="2693" w:type="dxa"/>
            <w:vAlign w:val="center"/>
          </w:tcPr>
          <w:p w14:paraId="0A3DAEC3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Наличие и эффективное функционирование пожарной, охранной сигнализации, своевременная подготовка к отопительному сезону</w:t>
            </w:r>
          </w:p>
        </w:tc>
        <w:tc>
          <w:tcPr>
            <w:tcW w:w="1701" w:type="dxa"/>
            <w:vAlign w:val="center"/>
          </w:tcPr>
          <w:p w14:paraId="7B6622E9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25</w:t>
            </w:r>
          </w:p>
        </w:tc>
        <w:tc>
          <w:tcPr>
            <w:tcW w:w="1163" w:type="dxa"/>
            <w:vAlign w:val="center"/>
          </w:tcPr>
          <w:p w14:paraId="18564E11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2C746035" w14:textId="77777777" w:rsidTr="00B75CB9">
        <w:trPr>
          <w:trHeight w:val="465"/>
        </w:trPr>
        <w:tc>
          <w:tcPr>
            <w:tcW w:w="709" w:type="dxa"/>
            <w:vMerge w:val="restart"/>
            <w:vAlign w:val="center"/>
          </w:tcPr>
          <w:p w14:paraId="3926708C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11</w:t>
            </w:r>
          </w:p>
        </w:tc>
        <w:tc>
          <w:tcPr>
            <w:tcW w:w="3431" w:type="dxa"/>
            <w:vMerge w:val="restart"/>
            <w:vAlign w:val="center"/>
          </w:tcPr>
          <w:p w14:paraId="12B87890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 объективных жалоб на качество услуг, работ.</w:t>
            </w:r>
          </w:p>
        </w:tc>
        <w:tc>
          <w:tcPr>
            <w:tcW w:w="2693" w:type="dxa"/>
            <w:vAlign w:val="center"/>
          </w:tcPr>
          <w:p w14:paraId="49F5EDA6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</w:t>
            </w:r>
          </w:p>
        </w:tc>
        <w:tc>
          <w:tcPr>
            <w:tcW w:w="1701" w:type="dxa"/>
            <w:vAlign w:val="center"/>
          </w:tcPr>
          <w:p w14:paraId="7AAAE220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25</w:t>
            </w:r>
          </w:p>
        </w:tc>
        <w:tc>
          <w:tcPr>
            <w:tcW w:w="1163" w:type="dxa"/>
            <w:vMerge w:val="restart"/>
            <w:vAlign w:val="center"/>
          </w:tcPr>
          <w:p w14:paraId="08B1EA40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173ACE92" w14:textId="77777777" w:rsidTr="00B75CB9">
        <w:trPr>
          <w:trHeight w:val="420"/>
        </w:trPr>
        <w:tc>
          <w:tcPr>
            <w:tcW w:w="709" w:type="dxa"/>
            <w:vMerge/>
            <w:vAlign w:val="center"/>
          </w:tcPr>
          <w:p w14:paraId="079BAB9F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7A13A87B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  <w:vAlign w:val="center"/>
          </w:tcPr>
          <w:p w14:paraId="5F337FF3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Наличие</w:t>
            </w:r>
          </w:p>
        </w:tc>
        <w:tc>
          <w:tcPr>
            <w:tcW w:w="1701" w:type="dxa"/>
            <w:vAlign w:val="center"/>
          </w:tcPr>
          <w:p w14:paraId="55C0847D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</w:p>
        </w:tc>
        <w:tc>
          <w:tcPr>
            <w:tcW w:w="1163" w:type="dxa"/>
            <w:vMerge/>
            <w:vAlign w:val="center"/>
          </w:tcPr>
          <w:p w14:paraId="55A788E0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106E1EDF" w14:textId="77777777" w:rsidTr="00B75CB9">
        <w:trPr>
          <w:trHeight w:val="975"/>
        </w:trPr>
        <w:tc>
          <w:tcPr>
            <w:tcW w:w="709" w:type="dxa"/>
            <w:vMerge w:val="restart"/>
            <w:vAlign w:val="center"/>
          </w:tcPr>
          <w:p w14:paraId="46137EAC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highlight w:val="yellow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12</w:t>
            </w:r>
          </w:p>
        </w:tc>
        <w:tc>
          <w:tcPr>
            <w:tcW w:w="3431" w:type="dxa"/>
            <w:vMerge w:val="restart"/>
            <w:vAlign w:val="center"/>
          </w:tcPr>
          <w:p w14:paraId="74EF58D5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Укомплектованность кадрами (фактическую численность работников, без учета совмещения и совместительства разделить на штатную численность работников*100%)</w:t>
            </w:r>
          </w:p>
        </w:tc>
        <w:tc>
          <w:tcPr>
            <w:tcW w:w="2693" w:type="dxa"/>
          </w:tcPr>
          <w:p w14:paraId="1D2FE71B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51C1B6DF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highlight w:val="yellow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81- 100%</w:t>
            </w:r>
          </w:p>
        </w:tc>
        <w:tc>
          <w:tcPr>
            <w:tcW w:w="1701" w:type="dxa"/>
            <w:vAlign w:val="center"/>
          </w:tcPr>
          <w:p w14:paraId="0F916E78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5947A2D2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10</w:t>
            </w:r>
          </w:p>
        </w:tc>
        <w:tc>
          <w:tcPr>
            <w:tcW w:w="1163" w:type="dxa"/>
            <w:vMerge w:val="restart"/>
            <w:vAlign w:val="center"/>
          </w:tcPr>
          <w:p w14:paraId="2C3E3918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  <w:p w14:paraId="6A210949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03A0A835" w14:textId="77777777" w:rsidTr="00B75CB9">
        <w:trPr>
          <w:trHeight w:val="564"/>
        </w:trPr>
        <w:tc>
          <w:tcPr>
            <w:tcW w:w="709" w:type="dxa"/>
            <w:vMerge/>
            <w:vAlign w:val="center"/>
          </w:tcPr>
          <w:p w14:paraId="6BA31352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6A292779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</w:tcPr>
          <w:p w14:paraId="47DC425F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highlight w:val="yellow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70-80%</w:t>
            </w:r>
          </w:p>
        </w:tc>
        <w:tc>
          <w:tcPr>
            <w:tcW w:w="1701" w:type="dxa"/>
            <w:vAlign w:val="center"/>
          </w:tcPr>
          <w:p w14:paraId="67EB0230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</w:p>
        </w:tc>
        <w:tc>
          <w:tcPr>
            <w:tcW w:w="1163" w:type="dxa"/>
            <w:vMerge/>
            <w:vAlign w:val="center"/>
          </w:tcPr>
          <w:p w14:paraId="3DBFD6CF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3760553D" w14:textId="77777777" w:rsidTr="00B75CB9">
        <w:trPr>
          <w:trHeight w:val="582"/>
        </w:trPr>
        <w:tc>
          <w:tcPr>
            <w:tcW w:w="709" w:type="dxa"/>
            <w:vMerge/>
            <w:vAlign w:val="center"/>
          </w:tcPr>
          <w:p w14:paraId="4561A709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4E51DD6F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</w:tcPr>
          <w:p w14:paraId="35A8CB02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highlight w:val="yellow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Менее 70%</w:t>
            </w:r>
          </w:p>
        </w:tc>
        <w:tc>
          <w:tcPr>
            <w:tcW w:w="1701" w:type="dxa"/>
            <w:vAlign w:val="center"/>
          </w:tcPr>
          <w:p w14:paraId="2780E3D8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</w:p>
        </w:tc>
        <w:tc>
          <w:tcPr>
            <w:tcW w:w="1163" w:type="dxa"/>
            <w:vMerge/>
            <w:vAlign w:val="center"/>
          </w:tcPr>
          <w:p w14:paraId="16B1A053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02AF627E" w14:textId="77777777" w:rsidTr="00B75CB9">
        <w:trPr>
          <w:trHeight w:val="2160"/>
        </w:trPr>
        <w:tc>
          <w:tcPr>
            <w:tcW w:w="709" w:type="dxa"/>
            <w:vMerge w:val="restart"/>
            <w:vAlign w:val="center"/>
          </w:tcPr>
          <w:p w14:paraId="05B2CAC6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13</w:t>
            </w:r>
          </w:p>
        </w:tc>
        <w:tc>
          <w:tcPr>
            <w:tcW w:w="3431" w:type="dxa"/>
            <w:vMerge w:val="restart"/>
            <w:vAlign w:val="center"/>
          </w:tcPr>
          <w:p w14:paraId="3719B797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Квалификационный уровень специалистов</w:t>
            </w:r>
          </w:p>
        </w:tc>
        <w:tc>
          <w:tcPr>
            <w:tcW w:w="2693" w:type="dxa"/>
          </w:tcPr>
          <w:p w14:paraId="70A4F564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Удельный вес специалистов, имеющий уровень образования, соответствующий занимаемой должности</w:t>
            </w:r>
          </w:p>
          <w:p w14:paraId="0366FFDB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 от 80% до 100%</w:t>
            </w:r>
          </w:p>
        </w:tc>
        <w:tc>
          <w:tcPr>
            <w:tcW w:w="1701" w:type="dxa"/>
            <w:vAlign w:val="center"/>
          </w:tcPr>
          <w:p w14:paraId="21723839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5E39702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7724F952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607DB792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15</w:t>
            </w:r>
          </w:p>
        </w:tc>
        <w:tc>
          <w:tcPr>
            <w:tcW w:w="1163" w:type="dxa"/>
            <w:vMerge w:val="restart"/>
            <w:vAlign w:val="center"/>
          </w:tcPr>
          <w:p w14:paraId="51F854BF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ED81521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0CD981E3" w14:textId="77777777" w:rsidTr="00B75CB9">
        <w:trPr>
          <w:trHeight w:val="480"/>
        </w:trPr>
        <w:tc>
          <w:tcPr>
            <w:tcW w:w="709" w:type="dxa"/>
            <w:vMerge/>
            <w:vAlign w:val="center"/>
          </w:tcPr>
          <w:p w14:paraId="1D622489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59206E6B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</w:tcPr>
          <w:p w14:paraId="4C38D6C3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-менее 80%</w:t>
            </w:r>
          </w:p>
        </w:tc>
        <w:tc>
          <w:tcPr>
            <w:tcW w:w="1701" w:type="dxa"/>
            <w:vAlign w:val="center"/>
          </w:tcPr>
          <w:p w14:paraId="3B93D327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</w:p>
        </w:tc>
        <w:tc>
          <w:tcPr>
            <w:tcW w:w="1163" w:type="dxa"/>
            <w:vMerge/>
            <w:vAlign w:val="center"/>
          </w:tcPr>
          <w:p w14:paraId="3118509E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004BA8FF" w14:textId="77777777" w:rsidTr="00B75CB9">
        <w:trPr>
          <w:trHeight w:val="420"/>
        </w:trPr>
        <w:tc>
          <w:tcPr>
            <w:tcW w:w="709" w:type="dxa"/>
            <w:vMerge w:val="restart"/>
            <w:vAlign w:val="center"/>
          </w:tcPr>
          <w:p w14:paraId="0F5895B1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14</w:t>
            </w:r>
          </w:p>
        </w:tc>
        <w:tc>
          <w:tcPr>
            <w:tcW w:w="3431" w:type="dxa"/>
            <w:vMerge w:val="restart"/>
            <w:vAlign w:val="center"/>
          </w:tcPr>
          <w:p w14:paraId="547371EE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Обеспечение соблюдения охраны и условий труда работников </w:t>
            </w:r>
          </w:p>
        </w:tc>
        <w:tc>
          <w:tcPr>
            <w:tcW w:w="2693" w:type="dxa"/>
          </w:tcPr>
          <w:p w14:paraId="6BE68E00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 производственного травматизма и профессиональных заболеваний работников Учреждения</w:t>
            </w:r>
          </w:p>
        </w:tc>
        <w:tc>
          <w:tcPr>
            <w:tcW w:w="1701" w:type="dxa"/>
            <w:vAlign w:val="center"/>
          </w:tcPr>
          <w:p w14:paraId="06E28E57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C7B484B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609130EC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25</w:t>
            </w:r>
          </w:p>
        </w:tc>
        <w:tc>
          <w:tcPr>
            <w:tcW w:w="1163" w:type="dxa"/>
            <w:vMerge w:val="restart"/>
            <w:vAlign w:val="center"/>
          </w:tcPr>
          <w:p w14:paraId="3D0EB91B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  <w:p w14:paraId="78E025CF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4A1770B5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7B22F7E0" w14:textId="77777777" w:rsidTr="00B75CB9">
        <w:trPr>
          <w:trHeight w:val="465"/>
        </w:trPr>
        <w:tc>
          <w:tcPr>
            <w:tcW w:w="709" w:type="dxa"/>
            <w:vMerge/>
            <w:vAlign w:val="center"/>
          </w:tcPr>
          <w:p w14:paraId="719EFEEC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7BA69E17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</w:tcPr>
          <w:p w14:paraId="420BD868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Наличие производственного травматизма или профессиональных заболеваний работников Учреждения</w:t>
            </w:r>
          </w:p>
        </w:tc>
        <w:tc>
          <w:tcPr>
            <w:tcW w:w="1701" w:type="dxa"/>
            <w:vAlign w:val="center"/>
          </w:tcPr>
          <w:p w14:paraId="5B79F7F4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</w:p>
        </w:tc>
        <w:tc>
          <w:tcPr>
            <w:tcW w:w="1163" w:type="dxa"/>
            <w:vMerge/>
            <w:vAlign w:val="center"/>
          </w:tcPr>
          <w:p w14:paraId="712A343D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26904192" w14:textId="77777777" w:rsidTr="00B75CB9">
        <w:trPr>
          <w:trHeight w:val="670"/>
        </w:trPr>
        <w:tc>
          <w:tcPr>
            <w:tcW w:w="709" w:type="dxa"/>
            <w:vMerge w:val="restart"/>
            <w:vAlign w:val="center"/>
          </w:tcPr>
          <w:p w14:paraId="078C45FD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15</w:t>
            </w:r>
          </w:p>
        </w:tc>
        <w:tc>
          <w:tcPr>
            <w:tcW w:w="3431" w:type="dxa"/>
            <w:vMerge w:val="restart"/>
            <w:vAlign w:val="center"/>
          </w:tcPr>
          <w:p w14:paraId="2B65A6E5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Обеспечение условий для производительного качественного труда, мер по повышению мотивации к качественному труду, развитию кадрового потенциала</w:t>
            </w:r>
          </w:p>
        </w:tc>
        <w:tc>
          <w:tcPr>
            <w:tcW w:w="2693" w:type="dxa"/>
          </w:tcPr>
          <w:p w14:paraId="75C06A91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Количество работников, прошедших обучение, подготовку или переподготовку:</w:t>
            </w:r>
          </w:p>
        </w:tc>
        <w:tc>
          <w:tcPr>
            <w:tcW w:w="1701" w:type="dxa"/>
            <w:vAlign w:val="center"/>
          </w:tcPr>
          <w:p w14:paraId="71C53289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</w:tc>
        <w:tc>
          <w:tcPr>
            <w:tcW w:w="1163" w:type="dxa"/>
            <w:vMerge w:val="restart"/>
            <w:vAlign w:val="center"/>
          </w:tcPr>
          <w:p w14:paraId="3530A755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73BD72E7" w14:textId="77777777" w:rsidTr="00B75CB9">
        <w:trPr>
          <w:trHeight w:val="408"/>
        </w:trPr>
        <w:tc>
          <w:tcPr>
            <w:tcW w:w="709" w:type="dxa"/>
            <w:vMerge/>
            <w:vAlign w:val="center"/>
          </w:tcPr>
          <w:p w14:paraId="073041C7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61582A8F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</w:tcPr>
          <w:p w14:paraId="0E65A3CB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 от 2 человек и более</w:t>
            </w:r>
          </w:p>
        </w:tc>
        <w:tc>
          <w:tcPr>
            <w:tcW w:w="1701" w:type="dxa"/>
            <w:vAlign w:val="center"/>
          </w:tcPr>
          <w:p w14:paraId="6C494F2D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15</w:t>
            </w:r>
          </w:p>
        </w:tc>
        <w:tc>
          <w:tcPr>
            <w:tcW w:w="1163" w:type="dxa"/>
            <w:vMerge/>
            <w:vAlign w:val="center"/>
          </w:tcPr>
          <w:p w14:paraId="536F6689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64E343E2" w14:textId="77777777" w:rsidTr="00B75CB9">
        <w:trPr>
          <w:trHeight w:val="300"/>
        </w:trPr>
        <w:tc>
          <w:tcPr>
            <w:tcW w:w="709" w:type="dxa"/>
            <w:vMerge/>
            <w:vAlign w:val="center"/>
          </w:tcPr>
          <w:p w14:paraId="45EDFFA7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56758DB2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</w:tcPr>
          <w:p w14:paraId="76C9D24F" w14:textId="1FE1EA19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- 1 человек</w:t>
            </w:r>
          </w:p>
        </w:tc>
        <w:tc>
          <w:tcPr>
            <w:tcW w:w="1701" w:type="dxa"/>
            <w:vAlign w:val="center"/>
          </w:tcPr>
          <w:p w14:paraId="37960913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10</w:t>
            </w:r>
          </w:p>
        </w:tc>
        <w:tc>
          <w:tcPr>
            <w:tcW w:w="1163" w:type="dxa"/>
            <w:vMerge/>
            <w:vAlign w:val="center"/>
          </w:tcPr>
          <w:p w14:paraId="11E6F8CB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06CA3753" w14:textId="77777777" w:rsidTr="00B75CB9">
        <w:trPr>
          <w:trHeight w:val="252"/>
        </w:trPr>
        <w:tc>
          <w:tcPr>
            <w:tcW w:w="709" w:type="dxa"/>
            <w:vMerge/>
            <w:vAlign w:val="center"/>
          </w:tcPr>
          <w:p w14:paraId="7DB02185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6902E526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</w:tcPr>
          <w:p w14:paraId="2F1DCA22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 ни одного человека</w:t>
            </w:r>
          </w:p>
        </w:tc>
        <w:tc>
          <w:tcPr>
            <w:tcW w:w="1701" w:type="dxa"/>
            <w:vAlign w:val="center"/>
          </w:tcPr>
          <w:p w14:paraId="24E04056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</w:p>
        </w:tc>
        <w:tc>
          <w:tcPr>
            <w:tcW w:w="1163" w:type="dxa"/>
            <w:vMerge/>
            <w:vAlign w:val="center"/>
          </w:tcPr>
          <w:p w14:paraId="4A10EFBE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6EFBBE7C" w14:textId="77777777" w:rsidTr="00B75CB9">
        <w:trPr>
          <w:trHeight w:val="390"/>
        </w:trPr>
        <w:tc>
          <w:tcPr>
            <w:tcW w:w="709" w:type="dxa"/>
            <w:vAlign w:val="center"/>
          </w:tcPr>
          <w:p w14:paraId="16B922D4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16</w:t>
            </w:r>
          </w:p>
        </w:tc>
        <w:tc>
          <w:tcPr>
            <w:tcW w:w="3431" w:type="dxa"/>
            <w:vAlign w:val="center"/>
          </w:tcPr>
          <w:p w14:paraId="5779D0EB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 нарушений сроков представления отчетов, справок запрашиваемой информации Учредителем.</w:t>
            </w:r>
          </w:p>
        </w:tc>
        <w:tc>
          <w:tcPr>
            <w:tcW w:w="2693" w:type="dxa"/>
          </w:tcPr>
          <w:p w14:paraId="7750A028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6B1D2819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Отсутствие замечаний</w:t>
            </w:r>
          </w:p>
        </w:tc>
        <w:tc>
          <w:tcPr>
            <w:tcW w:w="1701" w:type="dxa"/>
            <w:vAlign w:val="center"/>
          </w:tcPr>
          <w:p w14:paraId="589833CD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15</w:t>
            </w:r>
          </w:p>
        </w:tc>
        <w:tc>
          <w:tcPr>
            <w:tcW w:w="1163" w:type="dxa"/>
            <w:vAlign w:val="center"/>
          </w:tcPr>
          <w:p w14:paraId="62082EE4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6C71CD97" w14:textId="77777777" w:rsidTr="00B75CB9">
        <w:trPr>
          <w:trHeight w:val="390"/>
        </w:trPr>
        <w:tc>
          <w:tcPr>
            <w:tcW w:w="709" w:type="dxa"/>
            <w:vAlign w:val="center"/>
          </w:tcPr>
          <w:p w14:paraId="4AC79D32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17</w:t>
            </w:r>
          </w:p>
        </w:tc>
        <w:tc>
          <w:tcPr>
            <w:tcW w:w="3431" w:type="dxa"/>
            <w:vAlign w:val="center"/>
          </w:tcPr>
          <w:p w14:paraId="66E674A2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Наличие информационных материалов о деятельности организации, направленных в управление по вопросам общественности администрации города Оби Новосибирской области для размещения в сети «Интернет» и получивших положительный отзыв.</w:t>
            </w:r>
          </w:p>
        </w:tc>
        <w:tc>
          <w:tcPr>
            <w:tcW w:w="2693" w:type="dxa"/>
          </w:tcPr>
          <w:p w14:paraId="32155327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7723D302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03C7DCA" w14:textId="77777777" w:rsidR="00B75CB9" w:rsidRDefault="00B75CB9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7BB25604" w14:textId="77777777" w:rsidR="00B75CB9" w:rsidRDefault="00B75CB9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039ADB08" w14:textId="77777777" w:rsidR="00B75CB9" w:rsidRDefault="00B75CB9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66D173E2" w14:textId="77777777" w:rsidR="00B75CB9" w:rsidRDefault="00B75CB9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462FDBF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Наличие</w:t>
            </w:r>
          </w:p>
        </w:tc>
        <w:tc>
          <w:tcPr>
            <w:tcW w:w="1701" w:type="dxa"/>
            <w:vAlign w:val="center"/>
          </w:tcPr>
          <w:p w14:paraId="54AD5257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</w:p>
        </w:tc>
        <w:tc>
          <w:tcPr>
            <w:tcW w:w="1163" w:type="dxa"/>
            <w:vAlign w:val="center"/>
          </w:tcPr>
          <w:p w14:paraId="183CB829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79322DC2" w14:textId="77777777" w:rsidTr="00B75CB9">
        <w:trPr>
          <w:trHeight w:val="390"/>
        </w:trPr>
        <w:tc>
          <w:tcPr>
            <w:tcW w:w="709" w:type="dxa"/>
            <w:vAlign w:val="center"/>
          </w:tcPr>
          <w:p w14:paraId="64E90BBF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18</w:t>
            </w:r>
          </w:p>
        </w:tc>
        <w:tc>
          <w:tcPr>
            <w:tcW w:w="3431" w:type="dxa"/>
            <w:vAlign w:val="center"/>
          </w:tcPr>
          <w:p w14:paraId="5B747BD2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Осуществление социального партнерства между работодателем и работниками</w:t>
            </w:r>
          </w:p>
        </w:tc>
        <w:tc>
          <w:tcPr>
            <w:tcW w:w="2693" w:type="dxa"/>
          </w:tcPr>
          <w:p w14:paraId="1EBF1489" w14:textId="3984CCB5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Участие</w:t>
            </w:r>
            <w:r w:rsidR="00B75CB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коллектива в культурно-оздоровительных мероприятиях (производственная зарядка, дни здоровья,</w:t>
            </w:r>
            <w:r w:rsidR="00B75CB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спартакиады, походы,</w:t>
            </w:r>
            <w:r w:rsidR="00B75CB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фестивали), городских, областных конкурсах по социальному партнерству, охране труда и тп. Наличие мер стимулирования сотрудников на сдачу норм ГТО</w:t>
            </w:r>
          </w:p>
        </w:tc>
        <w:tc>
          <w:tcPr>
            <w:tcW w:w="1701" w:type="dxa"/>
            <w:vAlign w:val="center"/>
          </w:tcPr>
          <w:p w14:paraId="23839F2B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</w:p>
        </w:tc>
        <w:tc>
          <w:tcPr>
            <w:tcW w:w="1163" w:type="dxa"/>
            <w:vAlign w:val="center"/>
          </w:tcPr>
          <w:p w14:paraId="0B7DEE78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один раз в квартал</w:t>
            </w:r>
          </w:p>
        </w:tc>
      </w:tr>
      <w:tr w:rsidR="005614F7" w:rsidRPr="005614F7" w14:paraId="0966DB98" w14:textId="77777777" w:rsidTr="00B75CB9">
        <w:trPr>
          <w:trHeight w:val="390"/>
        </w:trPr>
        <w:tc>
          <w:tcPr>
            <w:tcW w:w="709" w:type="dxa"/>
            <w:vMerge w:val="restart"/>
            <w:vAlign w:val="center"/>
          </w:tcPr>
          <w:p w14:paraId="15126636" w14:textId="77777777" w:rsidR="005614F7" w:rsidRPr="005614F7" w:rsidRDefault="005614F7" w:rsidP="00B75C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19</w:t>
            </w:r>
          </w:p>
        </w:tc>
        <w:tc>
          <w:tcPr>
            <w:tcW w:w="3431" w:type="dxa"/>
            <w:vMerge w:val="restart"/>
            <w:vAlign w:val="center"/>
          </w:tcPr>
          <w:p w14:paraId="7DE7ED78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Охват специальной оценкой условий труда рабочих мест</w:t>
            </w:r>
          </w:p>
        </w:tc>
        <w:tc>
          <w:tcPr>
            <w:tcW w:w="2693" w:type="dxa"/>
          </w:tcPr>
          <w:p w14:paraId="458E1C37" w14:textId="77777777" w:rsidR="005614F7" w:rsidRPr="005614F7" w:rsidRDefault="005614F7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Да</w:t>
            </w:r>
          </w:p>
        </w:tc>
        <w:tc>
          <w:tcPr>
            <w:tcW w:w="1701" w:type="dxa"/>
            <w:vAlign w:val="center"/>
          </w:tcPr>
          <w:p w14:paraId="77DD3B20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10</w:t>
            </w:r>
          </w:p>
        </w:tc>
        <w:tc>
          <w:tcPr>
            <w:tcW w:w="1163" w:type="dxa"/>
            <w:vAlign w:val="center"/>
          </w:tcPr>
          <w:p w14:paraId="7D322FF6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262BA80E" w14:textId="77777777" w:rsidTr="00B75CB9">
        <w:trPr>
          <w:trHeight w:val="892"/>
        </w:trPr>
        <w:tc>
          <w:tcPr>
            <w:tcW w:w="709" w:type="dxa"/>
            <w:vMerge/>
            <w:vAlign w:val="center"/>
          </w:tcPr>
          <w:p w14:paraId="4A0306FF" w14:textId="77777777" w:rsidR="005614F7" w:rsidRPr="005614F7" w:rsidRDefault="005614F7" w:rsidP="00B75CB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431" w:type="dxa"/>
            <w:vMerge/>
            <w:vAlign w:val="center"/>
          </w:tcPr>
          <w:p w14:paraId="713047FD" w14:textId="77777777" w:rsidR="005614F7" w:rsidRPr="005614F7" w:rsidRDefault="005614F7" w:rsidP="00B75CB9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693" w:type="dxa"/>
          </w:tcPr>
          <w:p w14:paraId="6446AF91" w14:textId="4B57A0A2" w:rsidR="005614F7" w:rsidRPr="005614F7" w:rsidRDefault="007F02C4" w:rsidP="00B75C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</w:t>
            </w:r>
            <w:r w:rsidR="005614F7"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ет</w:t>
            </w:r>
          </w:p>
        </w:tc>
        <w:tc>
          <w:tcPr>
            <w:tcW w:w="1701" w:type="dxa"/>
            <w:vAlign w:val="center"/>
          </w:tcPr>
          <w:p w14:paraId="06CA34DB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</w:p>
        </w:tc>
        <w:tc>
          <w:tcPr>
            <w:tcW w:w="1163" w:type="dxa"/>
            <w:vAlign w:val="center"/>
          </w:tcPr>
          <w:p w14:paraId="165A6D9C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5614F7" w:rsidRPr="005614F7" w14:paraId="5259FFA1" w14:textId="77777777" w:rsidTr="00B75CB9">
        <w:trPr>
          <w:trHeight w:val="263"/>
        </w:trPr>
        <w:tc>
          <w:tcPr>
            <w:tcW w:w="8534" w:type="dxa"/>
            <w:gridSpan w:val="4"/>
          </w:tcPr>
          <w:p w14:paraId="73DAE545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FF0000"/>
                <w:kern w:val="0"/>
                <w:sz w:val="28"/>
                <w:szCs w:val="28"/>
                <w:highlight w:val="yellow"/>
                <w:lang w:eastAsia="ru-RU"/>
                <w14:ligatures w14:val="none"/>
              </w:rPr>
            </w:pPr>
            <w:r w:rsidRPr="005614F7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Итого</w:t>
            </w:r>
            <w:r w:rsidRPr="005614F7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ab/>
              <w:t xml:space="preserve">                                                                                           350             </w:t>
            </w:r>
          </w:p>
        </w:tc>
        <w:tc>
          <w:tcPr>
            <w:tcW w:w="1163" w:type="dxa"/>
          </w:tcPr>
          <w:p w14:paraId="2F9A6D25" w14:textId="77777777" w:rsidR="005614F7" w:rsidRPr="005614F7" w:rsidRDefault="005614F7" w:rsidP="00B75CB9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</w:tbl>
    <w:p w14:paraId="61B09F80" w14:textId="0DD648A0" w:rsidR="005614F7" w:rsidRDefault="007F02C4" w:rsidP="00B75CB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»</w:t>
      </w:r>
      <w:r w:rsidR="00D75CD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;</w:t>
      </w:r>
    </w:p>
    <w:p w14:paraId="0080630F" w14:textId="7CD44AB4" w:rsidR="00D75CD4" w:rsidRDefault="00D75CD4" w:rsidP="00B75CB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ab/>
        <w:t xml:space="preserve">1.2. </w:t>
      </w:r>
      <w:r w:rsidR="00B75CB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абзац первый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пункт</w:t>
      </w:r>
      <w:r w:rsidR="00B75CB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41 изложить в следующей редакции:</w:t>
      </w:r>
    </w:p>
    <w:p w14:paraId="3439EBD6" w14:textId="1D475491" w:rsidR="00D75CD4" w:rsidRPr="00D75CD4" w:rsidRDefault="00D75CD4" w:rsidP="00B75CB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ab/>
        <w:t>«</w:t>
      </w:r>
      <w:r w:rsidRPr="00D75CD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41. Премия по итогам календарного периода руководителю учреждения устанавливается распоряжением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администрации</w:t>
      </w:r>
      <w:r w:rsidRPr="00D75CD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города Оби Новосибирской области по результатам выполнения качественных показателей эффективности деятельности учреждения, в пределах экономии фонда оплаты труда учреждения. Размер премии руководителю учреждения определяет Глава города Оби Новосибирской области.</w:t>
      </w:r>
      <w:r w:rsidR="00B75CB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»; </w:t>
      </w:r>
    </w:p>
    <w:p w14:paraId="368A1E11" w14:textId="4BAB5A2A" w:rsidR="00D75CD4" w:rsidRDefault="00B75CB9" w:rsidP="00B75CB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1.3. пункт 43 изложить в следующей редакции:</w:t>
      </w:r>
    </w:p>
    <w:p w14:paraId="64822887" w14:textId="072C1D0E" w:rsidR="00B75CB9" w:rsidRDefault="00B75CB9" w:rsidP="00B75CB9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«</w:t>
      </w:r>
      <w:r w:rsidRPr="00B75CB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43. Премии за выполнение важных и особо важных заданий руководителю учреждения устанавливаются распоряжением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администрации</w:t>
      </w:r>
      <w:r w:rsidRPr="00B75CB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города Оби Новосибирской области, в случае выполнения важного или особо важного задания в пределах фонда оплаты труда руководителя учреждения. Размер премии руководителю учреждения определяет Глава города Оби Новосибирской области.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».</w:t>
      </w:r>
    </w:p>
    <w:p w14:paraId="064A1F37" w14:textId="3699374C" w:rsidR="0042760C" w:rsidRDefault="007F02C4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42760C">
        <w:rPr>
          <w:rFonts w:ascii="Times New Roman" w:hAnsi="Times New Roman" w:cs="Times New Roman"/>
          <w:sz w:val="28"/>
          <w:szCs w:val="28"/>
        </w:rPr>
        <w:t>. 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информационно-телекоммуникационной сети «Интернет».</w:t>
      </w:r>
    </w:p>
    <w:p w14:paraId="1E3556EB" w14:textId="11A4DCA8" w:rsidR="0042760C" w:rsidRDefault="007F02C4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2760C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на следующий день после его официального опубликования.</w:t>
      </w:r>
    </w:p>
    <w:p w14:paraId="53BD26B4" w14:textId="4FED7BA2" w:rsidR="00DB7346" w:rsidRDefault="007F02C4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B7346" w:rsidRPr="00DB7346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23779362" w14:textId="77777777" w:rsidR="00E92EE5" w:rsidRDefault="00E92EE5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D5DDF95" w14:textId="77777777" w:rsidR="00E92EE5" w:rsidRDefault="00E92EE5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1F3EF0" w14:textId="07EB05FC" w:rsidR="00F5563E" w:rsidRPr="00137D12" w:rsidRDefault="007F02C4" w:rsidP="00B75CB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И.о. </w:t>
      </w:r>
      <w:r w:rsidR="00DB7346" w:rsidRPr="00137D12">
        <w:rPr>
          <w:rFonts w:ascii="Times New Roman" w:hAnsi="Times New Roman" w:cs="Times New Roman"/>
          <w:b/>
          <w:sz w:val="28"/>
          <w:szCs w:val="28"/>
        </w:rPr>
        <w:t>Глав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DB7346" w:rsidRPr="00137D12">
        <w:rPr>
          <w:rFonts w:ascii="Times New Roman" w:hAnsi="Times New Roman" w:cs="Times New Roman"/>
          <w:b/>
          <w:sz w:val="28"/>
          <w:szCs w:val="28"/>
        </w:rPr>
        <w:t xml:space="preserve"> города Оби </w:t>
      </w:r>
    </w:p>
    <w:p w14:paraId="2086FF56" w14:textId="681193A9" w:rsidR="00F5563E" w:rsidRDefault="00F5563E" w:rsidP="00B75CB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37D12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  <w:t xml:space="preserve">   </w:t>
      </w:r>
      <w:r w:rsidR="00212E6F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B75CB9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7F02C4">
        <w:rPr>
          <w:rFonts w:ascii="Times New Roman" w:hAnsi="Times New Roman" w:cs="Times New Roman"/>
          <w:b/>
          <w:sz w:val="28"/>
          <w:szCs w:val="28"/>
        </w:rPr>
        <w:t>А.В. Беляков</w:t>
      </w:r>
    </w:p>
    <w:p w14:paraId="4C30EF7F" w14:textId="77777777" w:rsidR="00F5563E" w:rsidRDefault="00F5563E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C39FB63" w14:textId="77777777" w:rsidR="00E92EE5" w:rsidRDefault="00E92EE5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8A0531A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9A0DC18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2861C9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73C0010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3DB2773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985451D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8B93750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48BC05F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05FBADA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3901BD5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A887DAA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149C0F1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57BC3C1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8AD98A1" w14:textId="388087E3" w:rsidR="00F5563E" w:rsidRDefault="00A02370" w:rsidP="00B75CB9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Мельникова О</w:t>
      </w:r>
      <w:r w:rsidR="00FD0ACE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И</w:t>
      </w:r>
      <w:r w:rsidR="00FD0ACE">
        <w:rPr>
          <w:rFonts w:ascii="Times New Roman" w:hAnsi="Times New Roman" w:cs="Times New Roman"/>
          <w:sz w:val="20"/>
          <w:szCs w:val="20"/>
        </w:rPr>
        <w:t>.</w:t>
      </w:r>
    </w:p>
    <w:p w14:paraId="23631405" w14:textId="77777777" w:rsidR="00137D12" w:rsidRDefault="00F5563E" w:rsidP="00B75CB9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FD0ACE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</w:t>
      </w:r>
      <w:r w:rsidR="00FD0ACE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5</w:t>
      </w:r>
      <w:r w:rsidR="00A02370">
        <w:rPr>
          <w:rFonts w:ascii="Times New Roman" w:hAnsi="Times New Roman" w:cs="Times New Roman"/>
          <w:sz w:val="20"/>
          <w:szCs w:val="20"/>
        </w:rPr>
        <w:t>0</w:t>
      </w:r>
      <w:r w:rsidR="00FD0ACE">
        <w:rPr>
          <w:rFonts w:ascii="Times New Roman" w:hAnsi="Times New Roman" w:cs="Times New Roman"/>
          <w:sz w:val="20"/>
          <w:szCs w:val="20"/>
        </w:rPr>
        <w:t>-</w:t>
      </w:r>
      <w:r w:rsidR="00A02370">
        <w:rPr>
          <w:rFonts w:ascii="Times New Roman" w:hAnsi="Times New Roman" w:cs="Times New Roman"/>
          <w:sz w:val="20"/>
          <w:szCs w:val="20"/>
        </w:rPr>
        <w:t>873</w:t>
      </w:r>
    </w:p>
    <w:permEnd w:id="460262450"/>
    <w:p w14:paraId="38208111" w14:textId="5924DB13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9CD6EE" w14:textId="77777777" w:rsidR="00B36162" w:rsidRDefault="00B36162" w:rsidP="003F66EC">
      <w:r>
        <w:separator/>
      </w:r>
    </w:p>
  </w:endnote>
  <w:endnote w:type="continuationSeparator" w:id="0">
    <w:p w14:paraId="189E78C5" w14:textId="77777777" w:rsidR="00B36162" w:rsidRDefault="00B3616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167372" w14:textId="77777777" w:rsidR="00B36162" w:rsidRDefault="00B36162" w:rsidP="003F66EC">
      <w:r>
        <w:separator/>
      </w:r>
    </w:p>
  </w:footnote>
  <w:footnote w:type="continuationSeparator" w:id="0">
    <w:p w14:paraId="73A4D390" w14:textId="77777777" w:rsidR="00B36162" w:rsidRDefault="00B3616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dCCtFvZrXSEXtMegPOD0qo+6cZwms10qNIofPe4NvEhQJYSc7BrmF1cgVyILr1uv95vbgTJIm3+oSnUd56FDWA==" w:salt="O6b/0DllM8zXyJ4WQ9TDk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312A1"/>
    <w:rsid w:val="000572EA"/>
    <w:rsid w:val="00064856"/>
    <w:rsid w:val="000B0740"/>
    <w:rsid w:val="000E4BAC"/>
    <w:rsid w:val="000F0C23"/>
    <w:rsid w:val="000F32E6"/>
    <w:rsid w:val="000F4F30"/>
    <w:rsid w:val="000F76B2"/>
    <w:rsid w:val="00137D12"/>
    <w:rsid w:val="00150124"/>
    <w:rsid w:val="00156706"/>
    <w:rsid w:val="00170197"/>
    <w:rsid w:val="001C2377"/>
    <w:rsid w:val="001E1D81"/>
    <w:rsid w:val="00212E6F"/>
    <w:rsid w:val="002242D4"/>
    <w:rsid w:val="00256D04"/>
    <w:rsid w:val="002648FC"/>
    <w:rsid w:val="00284EC4"/>
    <w:rsid w:val="003428AD"/>
    <w:rsid w:val="0035180A"/>
    <w:rsid w:val="00352E60"/>
    <w:rsid w:val="003A0819"/>
    <w:rsid w:val="003C0380"/>
    <w:rsid w:val="003F66EC"/>
    <w:rsid w:val="0041022D"/>
    <w:rsid w:val="0042760C"/>
    <w:rsid w:val="00475BA5"/>
    <w:rsid w:val="0049050D"/>
    <w:rsid w:val="00493F47"/>
    <w:rsid w:val="004B27E4"/>
    <w:rsid w:val="004D592D"/>
    <w:rsid w:val="005235EC"/>
    <w:rsid w:val="005614F7"/>
    <w:rsid w:val="0058396E"/>
    <w:rsid w:val="005B7107"/>
    <w:rsid w:val="005E22CC"/>
    <w:rsid w:val="005F4A5D"/>
    <w:rsid w:val="00611F22"/>
    <w:rsid w:val="006353C5"/>
    <w:rsid w:val="0067056F"/>
    <w:rsid w:val="00684EEB"/>
    <w:rsid w:val="006878EC"/>
    <w:rsid w:val="006A25A3"/>
    <w:rsid w:val="006A5D05"/>
    <w:rsid w:val="006D1841"/>
    <w:rsid w:val="006E247A"/>
    <w:rsid w:val="006F304D"/>
    <w:rsid w:val="007363A2"/>
    <w:rsid w:val="00741F30"/>
    <w:rsid w:val="007556B2"/>
    <w:rsid w:val="0076498C"/>
    <w:rsid w:val="00776888"/>
    <w:rsid w:val="007807D7"/>
    <w:rsid w:val="0079029E"/>
    <w:rsid w:val="007A63DF"/>
    <w:rsid w:val="007F02C4"/>
    <w:rsid w:val="0081438C"/>
    <w:rsid w:val="008605F5"/>
    <w:rsid w:val="008642F0"/>
    <w:rsid w:val="008752E0"/>
    <w:rsid w:val="008A67FA"/>
    <w:rsid w:val="008B6423"/>
    <w:rsid w:val="008D1A3F"/>
    <w:rsid w:val="008E6BAD"/>
    <w:rsid w:val="008F47C8"/>
    <w:rsid w:val="00905F5B"/>
    <w:rsid w:val="0093548B"/>
    <w:rsid w:val="00994C3F"/>
    <w:rsid w:val="009B1A57"/>
    <w:rsid w:val="009B5D98"/>
    <w:rsid w:val="009B6195"/>
    <w:rsid w:val="009C41DE"/>
    <w:rsid w:val="009C5150"/>
    <w:rsid w:val="009D4BD3"/>
    <w:rsid w:val="00A02370"/>
    <w:rsid w:val="00A02917"/>
    <w:rsid w:val="00A8642D"/>
    <w:rsid w:val="00AB5EC6"/>
    <w:rsid w:val="00AB779A"/>
    <w:rsid w:val="00AC3D4E"/>
    <w:rsid w:val="00AD6BD0"/>
    <w:rsid w:val="00AF1D44"/>
    <w:rsid w:val="00B27DBB"/>
    <w:rsid w:val="00B36162"/>
    <w:rsid w:val="00B43D04"/>
    <w:rsid w:val="00B75CB9"/>
    <w:rsid w:val="00BE0D06"/>
    <w:rsid w:val="00BF3A7B"/>
    <w:rsid w:val="00C05758"/>
    <w:rsid w:val="00C67611"/>
    <w:rsid w:val="00C72C29"/>
    <w:rsid w:val="00C82258"/>
    <w:rsid w:val="00CB079A"/>
    <w:rsid w:val="00CB321E"/>
    <w:rsid w:val="00CB7A57"/>
    <w:rsid w:val="00CD1D20"/>
    <w:rsid w:val="00D364B8"/>
    <w:rsid w:val="00D512BF"/>
    <w:rsid w:val="00D526EC"/>
    <w:rsid w:val="00D75CD4"/>
    <w:rsid w:val="00D84313"/>
    <w:rsid w:val="00DB1F8C"/>
    <w:rsid w:val="00DB37E8"/>
    <w:rsid w:val="00DB7346"/>
    <w:rsid w:val="00DD6828"/>
    <w:rsid w:val="00DE4A33"/>
    <w:rsid w:val="00DF16C9"/>
    <w:rsid w:val="00DF1C5F"/>
    <w:rsid w:val="00E270C0"/>
    <w:rsid w:val="00E543BA"/>
    <w:rsid w:val="00E76B66"/>
    <w:rsid w:val="00E92EE5"/>
    <w:rsid w:val="00E94604"/>
    <w:rsid w:val="00ED1789"/>
    <w:rsid w:val="00EE3F3C"/>
    <w:rsid w:val="00EE5E3E"/>
    <w:rsid w:val="00EE6323"/>
    <w:rsid w:val="00EF0C46"/>
    <w:rsid w:val="00EF447D"/>
    <w:rsid w:val="00F304BB"/>
    <w:rsid w:val="00F47CC7"/>
    <w:rsid w:val="00F5563E"/>
    <w:rsid w:val="00F75559"/>
    <w:rsid w:val="00F912A1"/>
    <w:rsid w:val="00F96569"/>
    <w:rsid w:val="00FA78B9"/>
    <w:rsid w:val="00FB2C48"/>
    <w:rsid w:val="00FC4B4E"/>
    <w:rsid w:val="00FD0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FD0A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1"/>
    <w:link w:val="aa"/>
    <w:uiPriority w:val="99"/>
    <w:semiHidden/>
    <w:rsid w:val="00FD0A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9</Pages>
  <Words>1511</Words>
  <Characters>8619</Characters>
  <Application>Microsoft Office Word</Application>
  <DocSecurity>8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22</cp:revision>
  <cp:lastPrinted>2023-08-14T07:37:00Z</cp:lastPrinted>
  <dcterms:created xsi:type="dcterms:W3CDTF">2024-05-16T04:18:00Z</dcterms:created>
  <dcterms:modified xsi:type="dcterms:W3CDTF">2024-07-04T09:07:00Z</dcterms:modified>
</cp:coreProperties>
</file>