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АДМИНИСТРАЦИЯ</w:t>
      </w: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b w:val="0"/>
          <w:color w:val="auto"/>
        </w:rPr>
      </w:pPr>
      <w:r>
        <w:rPr>
          <w:rFonts w:ascii="Times New Roman" w:hAnsi="Times New Roman"/>
          <w:b w:val="0"/>
          <w:color w:val="auto"/>
        </w:rPr>
        <w:t>ГОРОДА ОБИ</w:t>
      </w:r>
    </w:p>
    <w:p w:rsidR="00D312C6" w:rsidRDefault="00D312C6" w:rsidP="00D312C6">
      <w:pPr>
        <w:jc w:val="center"/>
        <w:rPr>
          <w:sz w:val="28"/>
          <w:szCs w:val="28"/>
        </w:rPr>
      </w:pPr>
      <w:r>
        <w:rPr>
          <w:sz w:val="28"/>
          <w:szCs w:val="28"/>
        </w:rPr>
        <w:t>НОВОСИБИРСКОЙ ОБЛАСТИ</w:t>
      </w:r>
    </w:p>
    <w:p w:rsidR="00D312C6" w:rsidRDefault="00D312C6" w:rsidP="00D312C6">
      <w:pPr>
        <w:jc w:val="center"/>
        <w:rPr>
          <w:sz w:val="28"/>
          <w:szCs w:val="28"/>
        </w:rPr>
      </w:pPr>
    </w:p>
    <w:p w:rsidR="00D312C6" w:rsidRDefault="00D312C6" w:rsidP="00D312C6">
      <w:pPr>
        <w:pStyle w:val="1"/>
        <w:spacing w:before="0"/>
        <w:jc w:val="center"/>
        <w:rPr>
          <w:rFonts w:ascii="Times New Roman" w:hAnsi="Times New Roman"/>
          <w:color w:val="auto"/>
          <w:sz w:val="36"/>
          <w:szCs w:val="36"/>
        </w:rPr>
      </w:pPr>
      <w:r>
        <w:rPr>
          <w:rFonts w:ascii="Times New Roman" w:hAnsi="Times New Roman"/>
          <w:color w:val="auto"/>
          <w:sz w:val="36"/>
          <w:szCs w:val="36"/>
        </w:rPr>
        <w:t>ПОСТАНОВЛЕНИЕ</w:t>
      </w:r>
    </w:p>
    <w:p w:rsidR="00D312C6" w:rsidRDefault="00D312C6" w:rsidP="00D312C6">
      <w:pPr>
        <w:jc w:val="center"/>
        <w:rPr>
          <w:b/>
          <w:bCs/>
          <w:sz w:val="28"/>
          <w:szCs w:val="28"/>
        </w:rPr>
      </w:pPr>
    </w:p>
    <w:p w:rsidR="00D312C6" w:rsidRPr="001B388B" w:rsidRDefault="0093555B" w:rsidP="009C1971">
      <w:pPr>
        <w:rPr>
          <w:sz w:val="28"/>
          <w:szCs w:val="28"/>
        </w:rPr>
      </w:pPr>
      <w:r>
        <w:rPr>
          <w:sz w:val="28"/>
          <w:szCs w:val="28"/>
        </w:rPr>
        <w:t>22.12.</w:t>
      </w:r>
      <w:r w:rsidR="00D312C6" w:rsidRPr="001B388B">
        <w:rPr>
          <w:sz w:val="28"/>
          <w:szCs w:val="28"/>
        </w:rPr>
        <w:t>20</w:t>
      </w:r>
      <w:r w:rsidR="007C3CAB" w:rsidRPr="001B388B">
        <w:rPr>
          <w:sz w:val="28"/>
          <w:szCs w:val="28"/>
        </w:rPr>
        <w:t>21</w:t>
      </w:r>
      <w:r w:rsidR="00D312C6" w:rsidRPr="001B388B">
        <w:rPr>
          <w:sz w:val="28"/>
          <w:szCs w:val="28"/>
        </w:rPr>
        <w:t xml:space="preserve"> г.     </w:t>
      </w:r>
      <w:r w:rsidR="009C1971" w:rsidRPr="001B388B">
        <w:rPr>
          <w:sz w:val="28"/>
          <w:szCs w:val="28"/>
        </w:rPr>
        <w:t xml:space="preserve">                                   </w:t>
      </w:r>
      <w:r w:rsidR="00D312C6" w:rsidRPr="001B388B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                            № 1137</w:t>
      </w:r>
    </w:p>
    <w:p w:rsidR="00D312C6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</w:p>
    <w:p w:rsidR="00D312C6" w:rsidRDefault="00D312C6" w:rsidP="00D312C6">
      <w:pPr>
        <w:pStyle w:val="a4"/>
      </w:pPr>
      <w:r>
        <w:t>О внесении изменений в постановление</w:t>
      </w:r>
      <w:bookmarkStart w:id="0" w:name="_GoBack"/>
      <w:bookmarkEnd w:id="0"/>
    </w:p>
    <w:p w:rsidR="00D312C6" w:rsidRDefault="00D312C6" w:rsidP="00D312C6">
      <w:pPr>
        <w:pStyle w:val="a4"/>
      </w:pPr>
      <w:r>
        <w:t>от 0</w:t>
      </w:r>
      <w:r w:rsidR="00D8271D" w:rsidRPr="00D8271D">
        <w:t>2</w:t>
      </w:r>
      <w:r>
        <w:t>.</w:t>
      </w:r>
      <w:r w:rsidR="00D8271D" w:rsidRPr="00D8271D">
        <w:t>09</w:t>
      </w:r>
      <w:r>
        <w:t>.201</w:t>
      </w:r>
      <w:r w:rsidR="00D8271D" w:rsidRPr="00D8271D">
        <w:t>9</w:t>
      </w:r>
      <w:r w:rsidR="00FA083F">
        <w:t xml:space="preserve"> </w:t>
      </w:r>
      <w:r w:rsidR="00D8271D">
        <w:t>г.</w:t>
      </w:r>
      <w:r w:rsidR="004C4CEB">
        <w:t xml:space="preserve"> </w:t>
      </w:r>
      <w:r w:rsidR="00D8271D">
        <w:t>№ 802</w:t>
      </w:r>
    </w:p>
    <w:p w:rsidR="00FA083F" w:rsidRDefault="00D312C6" w:rsidP="00D312C6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9E411B" w:rsidRPr="009E411B" w:rsidRDefault="00D312C6" w:rsidP="009E411B">
      <w:pPr>
        <w:ind w:firstLine="360"/>
        <w:jc w:val="both"/>
        <w:rPr>
          <w:sz w:val="28"/>
        </w:rPr>
      </w:pPr>
      <w:r>
        <w:rPr>
          <w:szCs w:val="28"/>
        </w:rPr>
        <w:tab/>
      </w:r>
      <w:r w:rsidR="009E411B" w:rsidRPr="009E411B">
        <w:rPr>
          <w:sz w:val="28"/>
          <w:szCs w:val="28"/>
        </w:rPr>
        <w:t>В целях совершенствования   системы оплаты труда работников муниципальных учреждений социальной защиты населения города Оби Новосибирской области,</w:t>
      </w:r>
      <w:r w:rsidR="009E411B" w:rsidRPr="009E411B">
        <w:rPr>
          <w:sz w:val="28"/>
        </w:rPr>
        <w:t xml:space="preserve"> для приведения в соответствие с территориально-отраслевым соглашением по организациям отрасли социальной защиты </w:t>
      </w:r>
      <w:r w:rsidR="009E411B" w:rsidRPr="009E411B">
        <w:rPr>
          <w:sz w:val="28"/>
          <w:szCs w:val="28"/>
        </w:rPr>
        <w:t>населения</w:t>
      </w:r>
      <w:r w:rsidR="009E411B" w:rsidRPr="009E411B">
        <w:rPr>
          <w:sz w:val="28"/>
        </w:rPr>
        <w:t xml:space="preserve"> г. Оби на 2018 – 2021 годы</w:t>
      </w:r>
      <w:r w:rsidR="00C31C3C">
        <w:rPr>
          <w:sz w:val="28"/>
        </w:rPr>
        <w:t xml:space="preserve">, </w:t>
      </w:r>
      <w:r w:rsidR="009E411B" w:rsidRPr="009E411B">
        <w:rPr>
          <w:sz w:val="28"/>
        </w:rPr>
        <w:t>с</w:t>
      </w:r>
      <w:r w:rsidR="00C31C3C">
        <w:rPr>
          <w:sz w:val="28"/>
        </w:rPr>
        <w:t xml:space="preserve"> учетом</w:t>
      </w:r>
      <w:r w:rsidR="009E411B" w:rsidRPr="009E411B">
        <w:rPr>
          <w:sz w:val="28"/>
        </w:rPr>
        <w:t xml:space="preserve"> изменени</w:t>
      </w:r>
      <w:r w:rsidR="00C31C3C">
        <w:rPr>
          <w:sz w:val="28"/>
        </w:rPr>
        <w:t>й</w:t>
      </w:r>
      <w:r w:rsidR="009E411B" w:rsidRPr="009E411B">
        <w:rPr>
          <w:sz w:val="28"/>
        </w:rPr>
        <w:t xml:space="preserve"> от </w:t>
      </w:r>
      <w:r w:rsidR="00C31C3C">
        <w:rPr>
          <w:sz w:val="28"/>
        </w:rPr>
        <w:t>23.11.2021 года</w:t>
      </w:r>
    </w:p>
    <w:p w:rsidR="00D312C6" w:rsidRDefault="00D312C6" w:rsidP="00D312C6">
      <w:pPr>
        <w:pStyle w:val="a4"/>
        <w:jc w:val="both"/>
      </w:pPr>
    </w:p>
    <w:p w:rsidR="00D312C6" w:rsidRDefault="00D312C6" w:rsidP="00AC5317">
      <w:pPr>
        <w:pStyle w:val="a4"/>
        <w:jc w:val="center"/>
        <w:rPr>
          <w:b/>
        </w:rPr>
      </w:pPr>
      <w:r>
        <w:rPr>
          <w:b/>
        </w:rPr>
        <w:t>ПОСТАНОВЛЯЮ:</w:t>
      </w:r>
    </w:p>
    <w:p w:rsidR="00DD299F" w:rsidRPr="00AC5317" w:rsidRDefault="00DD299F" w:rsidP="00AC5317">
      <w:pPr>
        <w:pStyle w:val="a4"/>
        <w:jc w:val="center"/>
        <w:rPr>
          <w:b/>
        </w:rPr>
      </w:pPr>
    </w:p>
    <w:p w:rsidR="001836FA" w:rsidRPr="001836FA" w:rsidRDefault="00F103F7" w:rsidP="00491EFF">
      <w:pPr>
        <w:pStyle w:val="ConsPlusTitle"/>
        <w:numPr>
          <w:ilvl w:val="0"/>
          <w:numId w:val="7"/>
        </w:numPr>
        <w:jc w:val="both"/>
        <w:rPr>
          <w:b w:val="0"/>
        </w:rPr>
      </w:pPr>
      <w:r>
        <w:rPr>
          <w:b w:val="0"/>
        </w:rPr>
        <w:t xml:space="preserve">В </w:t>
      </w:r>
      <w:r w:rsidR="00D312C6">
        <w:rPr>
          <w:b w:val="0"/>
        </w:rPr>
        <w:t xml:space="preserve">Положение </w:t>
      </w:r>
      <w:r w:rsidR="00D312C6">
        <w:rPr>
          <w:b w:val="0"/>
          <w:bCs w:val="0"/>
          <w:szCs w:val="20"/>
        </w:rPr>
        <w:t>об оплате труда работников муниципальных учреждений социальной защиты населения г</w:t>
      </w:r>
      <w:r>
        <w:rPr>
          <w:b w:val="0"/>
          <w:bCs w:val="0"/>
          <w:szCs w:val="20"/>
        </w:rPr>
        <w:t>орода Оби Новосибирской области, утвержденное постановлением администрации</w:t>
      </w:r>
      <w:r w:rsidR="00F908E7">
        <w:rPr>
          <w:b w:val="0"/>
          <w:bCs w:val="0"/>
          <w:szCs w:val="20"/>
        </w:rPr>
        <w:t xml:space="preserve"> города Оби Новосибирской области</w:t>
      </w:r>
      <w:r>
        <w:rPr>
          <w:b w:val="0"/>
          <w:bCs w:val="0"/>
          <w:szCs w:val="20"/>
        </w:rPr>
        <w:t xml:space="preserve"> от 0</w:t>
      </w:r>
      <w:r w:rsidR="00F908E7">
        <w:rPr>
          <w:b w:val="0"/>
          <w:bCs w:val="0"/>
          <w:szCs w:val="20"/>
        </w:rPr>
        <w:t>2</w:t>
      </w:r>
      <w:r>
        <w:rPr>
          <w:b w:val="0"/>
          <w:bCs w:val="0"/>
          <w:szCs w:val="20"/>
        </w:rPr>
        <w:t>.</w:t>
      </w:r>
      <w:r w:rsidR="00F908E7">
        <w:rPr>
          <w:b w:val="0"/>
          <w:bCs w:val="0"/>
          <w:szCs w:val="20"/>
        </w:rPr>
        <w:t>09</w:t>
      </w:r>
      <w:r>
        <w:rPr>
          <w:b w:val="0"/>
          <w:bCs w:val="0"/>
          <w:szCs w:val="20"/>
        </w:rPr>
        <w:t>.201</w:t>
      </w:r>
      <w:r w:rsidR="00F908E7">
        <w:rPr>
          <w:b w:val="0"/>
          <w:bCs w:val="0"/>
          <w:szCs w:val="20"/>
        </w:rPr>
        <w:t>9</w:t>
      </w:r>
      <w:r>
        <w:rPr>
          <w:b w:val="0"/>
          <w:bCs w:val="0"/>
          <w:szCs w:val="20"/>
        </w:rPr>
        <w:t xml:space="preserve"> № </w:t>
      </w:r>
      <w:r w:rsidR="00F908E7">
        <w:rPr>
          <w:b w:val="0"/>
          <w:bCs w:val="0"/>
          <w:szCs w:val="20"/>
        </w:rPr>
        <w:t>802</w:t>
      </w:r>
      <w:r>
        <w:rPr>
          <w:b w:val="0"/>
          <w:bCs w:val="0"/>
          <w:szCs w:val="20"/>
        </w:rPr>
        <w:t>, внести следующие изменения</w:t>
      </w:r>
      <w:r w:rsidR="00D312C6">
        <w:rPr>
          <w:b w:val="0"/>
        </w:rPr>
        <w:t>:</w:t>
      </w:r>
    </w:p>
    <w:p w:rsidR="00FC235C" w:rsidRPr="00FC235C" w:rsidRDefault="00FC235C" w:rsidP="000851CF">
      <w:pPr>
        <w:pStyle w:val="a3"/>
        <w:numPr>
          <w:ilvl w:val="1"/>
          <w:numId w:val="7"/>
        </w:numPr>
        <w:spacing w:before="0" w:after="0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Пункт 1.6. изложить в следующей редакции:</w:t>
      </w:r>
    </w:p>
    <w:p w:rsidR="00FC235C" w:rsidRPr="00FC235C" w:rsidRDefault="00FC235C" w:rsidP="00491EFF">
      <w:pPr>
        <w:autoSpaceDE w:val="0"/>
        <w:autoSpaceDN w:val="0"/>
        <w:adjustRightInd w:val="0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 xml:space="preserve">«1.6. Штатное расписание учреждения формируется и утверждается руководителем учреждения самостоятельно, исходя из государственного задания и основных задач, для решения которых создано учреждение, и включает в себя все должности руководителей, специалистов, служащих и профессии рабочих данного учреждения с указанием их численности. 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этом численность заместителей руководителя учреждения устанавливается в зависимости от штатной численности учреждения с учетом особенностей и видов деятельности учреждения и организации управления этой деятельностью: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штатной численности не более 24 штатных единиц – 0;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штатной численности 25-100 штатных единиц – 1;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штатной численности 101-200 штатных единиц – не более 2;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штатной численности 201-300 штатных единиц – не более 3;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штатной численности 301-1000 штатных единиц – не более 4;</w:t>
      </w:r>
    </w:p>
    <w:p w:rsidR="00FC235C" w:rsidRPr="00FC235C" w:rsidRDefault="00FC235C" w:rsidP="000851CF">
      <w:pPr>
        <w:autoSpaceDE w:val="0"/>
        <w:autoSpaceDN w:val="0"/>
        <w:adjustRightInd w:val="0"/>
        <w:spacing w:before="0" w:after="0"/>
        <w:ind w:left="72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t>при штатной численности 1000 и более штатных единиц – не более 5.</w:t>
      </w:r>
    </w:p>
    <w:p w:rsidR="003E0155" w:rsidRPr="00FC235C" w:rsidRDefault="00FC235C" w:rsidP="00491EFF">
      <w:pPr>
        <w:autoSpaceDE w:val="0"/>
        <w:autoSpaceDN w:val="0"/>
        <w:adjustRightInd w:val="0"/>
        <w:spacing w:after="0"/>
        <w:jc w:val="both"/>
        <w:rPr>
          <w:bCs/>
          <w:color w:val="000000" w:themeColor="text1"/>
          <w:sz w:val="28"/>
          <w:szCs w:val="28"/>
        </w:rPr>
      </w:pPr>
      <w:r w:rsidRPr="00FC235C">
        <w:rPr>
          <w:bCs/>
          <w:color w:val="000000" w:themeColor="text1"/>
          <w:sz w:val="28"/>
          <w:szCs w:val="28"/>
        </w:rPr>
        <w:lastRenderedPageBreak/>
        <w:t>При наличии в учреждении филиалов и (или) иных обособл</w:t>
      </w:r>
      <w:r w:rsidR="00E36C3D">
        <w:rPr>
          <w:bCs/>
          <w:color w:val="000000" w:themeColor="text1"/>
          <w:sz w:val="28"/>
          <w:szCs w:val="28"/>
        </w:rPr>
        <w:t xml:space="preserve">енных структурных подразделений </w:t>
      </w:r>
      <w:r w:rsidRPr="00FC235C">
        <w:rPr>
          <w:bCs/>
          <w:color w:val="000000" w:themeColor="text1"/>
          <w:sz w:val="28"/>
          <w:szCs w:val="28"/>
        </w:rPr>
        <w:t>норматив численности заместителей руководителя увеличивается на 1 штатную единицу.»;</w:t>
      </w:r>
    </w:p>
    <w:p w:rsidR="003E0155" w:rsidRPr="001523EA" w:rsidRDefault="00853890" w:rsidP="00491EFF">
      <w:pPr>
        <w:pStyle w:val="a3"/>
        <w:numPr>
          <w:ilvl w:val="1"/>
          <w:numId w:val="7"/>
        </w:numPr>
        <w:autoSpaceDE w:val="0"/>
        <w:autoSpaceDN w:val="0"/>
        <w:adjustRightInd w:val="0"/>
        <w:spacing w:before="0" w:after="0"/>
        <w:jc w:val="both"/>
        <w:rPr>
          <w:bCs/>
          <w:color w:val="00B050"/>
          <w:sz w:val="28"/>
          <w:szCs w:val="28"/>
        </w:rPr>
      </w:pPr>
      <w:r w:rsidRPr="001523EA">
        <w:rPr>
          <w:rFonts w:eastAsia="Calibri"/>
          <w:sz w:val="28"/>
          <w:szCs w:val="28"/>
          <w:lang w:eastAsia="en-US"/>
        </w:rPr>
        <w:t xml:space="preserve">подпункт </w:t>
      </w:r>
      <w:r>
        <w:rPr>
          <w:rFonts w:eastAsia="Calibri"/>
          <w:sz w:val="28"/>
          <w:szCs w:val="28"/>
          <w:lang w:eastAsia="en-US"/>
        </w:rPr>
        <w:t xml:space="preserve">2 </w:t>
      </w:r>
      <w:r w:rsidR="003E0155" w:rsidRPr="001836FA">
        <w:rPr>
          <w:rFonts w:eastAsia="Calibri"/>
          <w:sz w:val="28"/>
          <w:szCs w:val="28"/>
          <w:lang w:eastAsia="en-US"/>
        </w:rPr>
        <w:t xml:space="preserve">в </w:t>
      </w:r>
      <w:r>
        <w:rPr>
          <w:rFonts w:eastAsia="Calibri"/>
          <w:sz w:val="28"/>
          <w:szCs w:val="28"/>
          <w:lang w:eastAsia="en-US"/>
        </w:rPr>
        <w:t>подпункте</w:t>
      </w:r>
      <w:r w:rsidR="003E0155" w:rsidRPr="001836FA">
        <w:rPr>
          <w:rFonts w:eastAsia="Calibri"/>
          <w:sz w:val="28"/>
          <w:szCs w:val="28"/>
          <w:lang w:eastAsia="en-US"/>
        </w:rPr>
        <w:t xml:space="preserve"> </w:t>
      </w:r>
      <w:r w:rsidR="003E0155" w:rsidRPr="001836FA">
        <w:rPr>
          <w:sz w:val="28"/>
          <w:szCs w:val="28"/>
        </w:rPr>
        <w:t>2.</w:t>
      </w:r>
      <w:r w:rsidR="003E0155">
        <w:rPr>
          <w:sz w:val="28"/>
          <w:szCs w:val="28"/>
        </w:rPr>
        <w:t>2</w:t>
      </w:r>
      <w:r w:rsidR="003E0155" w:rsidRPr="001836FA">
        <w:rPr>
          <w:sz w:val="28"/>
          <w:szCs w:val="28"/>
        </w:rPr>
        <w:t>.1.</w:t>
      </w:r>
      <w:r w:rsidRPr="00853890">
        <w:rPr>
          <w:rFonts w:eastAsia="Calibri"/>
          <w:sz w:val="28"/>
          <w:szCs w:val="28"/>
          <w:lang w:eastAsia="en-US"/>
        </w:rPr>
        <w:t xml:space="preserve"> </w:t>
      </w:r>
      <w:r w:rsidRPr="001836FA">
        <w:rPr>
          <w:rFonts w:eastAsia="Calibri"/>
          <w:sz w:val="28"/>
          <w:szCs w:val="28"/>
          <w:lang w:eastAsia="en-US"/>
        </w:rPr>
        <w:t>пункт</w:t>
      </w:r>
      <w:r>
        <w:rPr>
          <w:rFonts w:eastAsia="Calibri"/>
          <w:sz w:val="28"/>
          <w:szCs w:val="28"/>
          <w:lang w:eastAsia="en-US"/>
        </w:rPr>
        <w:t>а 2.2.</w:t>
      </w:r>
      <w:r w:rsidR="003E0155">
        <w:rPr>
          <w:sz w:val="28"/>
          <w:szCs w:val="28"/>
        </w:rPr>
        <w:t xml:space="preserve"> </w:t>
      </w:r>
      <w:r w:rsidR="003E0155" w:rsidRPr="001523EA">
        <w:rPr>
          <w:rFonts w:eastAsia="Calibri"/>
          <w:sz w:val="28"/>
          <w:szCs w:val="28"/>
          <w:lang w:eastAsia="en-US"/>
        </w:rPr>
        <w:t>изложить в следующей редакции:</w:t>
      </w:r>
    </w:p>
    <w:p w:rsidR="003E0155" w:rsidRPr="007C3CAB" w:rsidRDefault="003E0155" w:rsidP="00E36C3D">
      <w:pPr>
        <w:autoSpaceDE w:val="0"/>
        <w:autoSpaceDN w:val="0"/>
        <w:adjustRightInd w:val="0"/>
        <w:snapToGrid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«2</w:t>
      </w:r>
      <w:r w:rsidRPr="007C3CAB">
        <w:rPr>
          <w:rFonts w:eastAsia="Calibri"/>
          <w:sz w:val="28"/>
          <w:szCs w:val="28"/>
          <w:lang w:eastAsia="en-US"/>
        </w:rPr>
        <w:t>) профессиональный стандарт «Социальный работник» (утвержден приказом Минтруда России от 18.06.2020 № 354н).»;</w:t>
      </w:r>
    </w:p>
    <w:p w:rsidR="00610FD0" w:rsidRPr="00610FD0" w:rsidRDefault="00853890" w:rsidP="00491EFF">
      <w:pPr>
        <w:pStyle w:val="a3"/>
        <w:numPr>
          <w:ilvl w:val="1"/>
          <w:numId w:val="7"/>
        </w:num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>под</w:t>
      </w:r>
      <w:r w:rsidR="00610FD0" w:rsidRPr="00610FD0">
        <w:rPr>
          <w:rFonts w:eastAsia="Calibri"/>
          <w:sz w:val="28"/>
          <w:szCs w:val="22"/>
          <w:lang w:eastAsia="en-US"/>
        </w:rPr>
        <w:t xml:space="preserve">пункт 4.3.4. </w:t>
      </w:r>
      <w:r>
        <w:rPr>
          <w:rFonts w:eastAsia="Calibri"/>
          <w:sz w:val="28"/>
          <w:szCs w:val="22"/>
          <w:lang w:eastAsia="en-US"/>
        </w:rPr>
        <w:t xml:space="preserve">пункта 4.3 </w:t>
      </w:r>
      <w:r w:rsidR="00610FD0" w:rsidRPr="00610FD0">
        <w:rPr>
          <w:rFonts w:eastAsia="Calibri"/>
          <w:sz w:val="28"/>
          <w:szCs w:val="22"/>
          <w:lang w:eastAsia="en-US"/>
        </w:rPr>
        <w:t xml:space="preserve">изложить в следующей редакции: </w:t>
      </w:r>
    </w:p>
    <w:p w:rsidR="00610FD0" w:rsidRPr="00610FD0" w:rsidRDefault="00610FD0" w:rsidP="00FD3C86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</w:rPr>
      </w:pPr>
      <w:r w:rsidRPr="00610FD0"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lang w:eastAsia="en-US"/>
        </w:rPr>
        <w:t xml:space="preserve">4.3.4. </w:t>
      </w:r>
      <w:r w:rsidRPr="00610FD0">
        <w:rPr>
          <w:rFonts w:eastAsia="Calibri"/>
          <w:sz w:val="28"/>
          <w:szCs w:val="28"/>
        </w:rPr>
        <w:t>Комиссия по установлению стимулирующих выплат работникам учреждения, созданная в учреждении, не реже одного раза в квартал оценивает результаты выполнения качественных показателей эффективности деятельности работников и определяет конкретные размеры надбавки за качественные показатели эффективности деятельности работникам учреждения, которые устанавливаются приказом руководителя учреждения. Периодичность оценки результатов выполнения качественных показателей эффективности деятельности работников устанавливается положением об опл</w:t>
      </w:r>
      <w:r w:rsidR="0074219A">
        <w:rPr>
          <w:rFonts w:eastAsia="Calibri"/>
          <w:sz w:val="28"/>
          <w:szCs w:val="28"/>
        </w:rPr>
        <w:t>ате труда работников учреждения</w:t>
      </w:r>
      <w:r w:rsidR="004B5BED">
        <w:rPr>
          <w:rFonts w:eastAsia="Calibri"/>
          <w:sz w:val="28"/>
          <w:szCs w:val="28"/>
        </w:rPr>
        <w:t>»</w:t>
      </w:r>
      <w:r w:rsidR="0074219A">
        <w:rPr>
          <w:rFonts w:eastAsia="Calibri"/>
          <w:sz w:val="28"/>
          <w:szCs w:val="28"/>
        </w:rPr>
        <w:t>;</w:t>
      </w:r>
    </w:p>
    <w:p w:rsidR="00610FD0" w:rsidRPr="00610FD0" w:rsidRDefault="00610FD0" w:rsidP="00610FD0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  <w:t>1.4</w:t>
      </w:r>
      <w:r w:rsidRPr="00610FD0">
        <w:rPr>
          <w:rFonts w:eastAsia="Calibri"/>
          <w:color w:val="000000"/>
          <w:sz w:val="28"/>
          <w:szCs w:val="28"/>
        </w:rPr>
        <w:t>.</w:t>
      </w:r>
      <w:r w:rsidRPr="00610FD0">
        <w:rPr>
          <w:rFonts w:eastAsia="Calibri"/>
          <w:color w:val="000000"/>
          <w:sz w:val="28"/>
          <w:szCs w:val="28"/>
        </w:rPr>
        <w:tab/>
        <w:t xml:space="preserve">в </w:t>
      </w:r>
      <w:r w:rsidR="00853890">
        <w:rPr>
          <w:rFonts w:eastAsia="Calibri"/>
          <w:color w:val="000000"/>
          <w:sz w:val="28"/>
          <w:szCs w:val="28"/>
        </w:rPr>
        <w:t>под</w:t>
      </w:r>
      <w:r w:rsidRPr="00610FD0">
        <w:rPr>
          <w:rFonts w:eastAsia="Calibri"/>
          <w:color w:val="000000"/>
          <w:sz w:val="28"/>
          <w:szCs w:val="28"/>
        </w:rPr>
        <w:t xml:space="preserve">пункте 4.4.1. </w:t>
      </w:r>
      <w:r w:rsidR="00853890">
        <w:rPr>
          <w:rFonts w:eastAsia="Calibri"/>
          <w:color w:val="000000"/>
          <w:sz w:val="28"/>
          <w:szCs w:val="28"/>
        </w:rPr>
        <w:t xml:space="preserve">пункта 4.4. </w:t>
      </w:r>
      <w:r w:rsidRPr="00610FD0">
        <w:rPr>
          <w:rFonts w:eastAsia="Calibri"/>
          <w:color w:val="000000"/>
          <w:sz w:val="28"/>
          <w:szCs w:val="28"/>
        </w:rPr>
        <w:t>после слов «в пределах экономии фонда оплаты</w:t>
      </w:r>
    </w:p>
    <w:p w:rsidR="00610FD0" w:rsidRDefault="00610FD0" w:rsidP="00610FD0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color w:val="000000"/>
          <w:sz w:val="28"/>
          <w:szCs w:val="28"/>
        </w:rPr>
      </w:pPr>
      <w:r w:rsidRPr="00610FD0">
        <w:rPr>
          <w:rFonts w:eastAsia="Calibri"/>
          <w:color w:val="000000"/>
          <w:sz w:val="28"/>
          <w:szCs w:val="28"/>
        </w:rPr>
        <w:t>труда учреждения» дополнить словами «на основании предложений комиссии по установлению стимулирующих выплат работникам учреждений, созданной в учреждении.»;</w:t>
      </w:r>
    </w:p>
    <w:p w:rsidR="00E36C3D" w:rsidRPr="00E36C3D" w:rsidRDefault="00E36C3D" w:rsidP="00FD3C86">
      <w:p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color w:val="000000"/>
          <w:sz w:val="28"/>
          <w:szCs w:val="28"/>
        </w:rPr>
        <w:tab/>
        <w:t>1.</w:t>
      </w:r>
      <w:r w:rsidR="00610FD0">
        <w:rPr>
          <w:rFonts w:eastAsia="Calibri"/>
          <w:color w:val="000000"/>
          <w:sz w:val="28"/>
          <w:szCs w:val="28"/>
        </w:rPr>
        <w:t>5</w:t>
      </w:r>
      <w:r>
        <w:rPr>
          <w:rFonts w:eastAsia="Calibri"/>
          <w:color w:val="000000"/>
          <w:sz w:val="28"/>
          <w:szCs w:val="28"/>
        </w:rPr>
        <w:t>.</w:t>
      </w:r>
      <w:r w:rsidRPr="00E36C3D">
        <w:rPr>
          <w:rFonts w:eastAsia="Calibri"/>
          <w:sz w:val="28"/>
          <w:szCs w:val="22"/>
          <w:lang w:eastAsia="en-US"/>
        </w:rPr>
        <w:t xml:space="preserve"> пунк</w:t>
      </w:r>
      <w:r>
        <w:rPr>
          <w:rFonts w:eastAsia="Calibri"/>
          <w:sz w:val="28"/>
          <w:szCs w:val="22"/>
          <w:lang w:eastAsia="en-US"/>
        </w:rPr>
        <w:t>т 5.8.</w:t>
      </w:r>
      <w:r w:rsidRPr="00E36C3D">
        <w:rPr>
          <w:rFonts w:eastAsia="Calibri"/>
          <w:sz w:val="28"/>
          <w:szCs w:val="22"/>
          <w:lang w:eastAsia="en-US"/>
        </w:rPr>
        <w:t xml:space="preserve"> изложить в следующей редакции:</w:t>
      </w:r>
    </w:p>
    <w:p w:rsidR="00E36C3D" w:rsidRDefault="00E36C3D" w:rsidP="00610FD0">
      <w:pPr>
        <w:shd w:val="clear" w:color="auto" w:fill="FFFFFF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  <w:r w:rsidRPr="00E36C3D">
        <w:rPr>
          <w:rFonts w:eastAsia="Calibri"/>
          <w:sz w:val="28"/>
          <w:szCs w:val="22"/>
          <w:lang w:eastAsia="en-US"/>
        </w:rPr>
        <w:t>«</w:t>
      </w:r>
      <w:r>
        <w:rPr>
          <w:rFonts w:eastAsia="Calibri"/>
          <w:sz w:val="28"/>
          <w:szCs w:val="22"/>
          <w:lang w:eastAsia="en-US"/>
        </w:rPr>
        <w:t>5</w:t>
      </w:r>
      <w:r w:rsidRPr="00E36C3D">
        <w:rPr>
          <w:rFonts w:eastAsia="Calibri"/>
          <w:sz w:val="28"/>
          <w:szCs w:val="22"/>
          <w:lang w:eastAsia="en-US"/>
        </w:rPr>
        <w:t>.</w:t>
      </w:r>
      <w:r>
        <w:rPr>
          <w:rFonts w:eastAsia="Calibri"/>
          <w:sz w:val="28"/>
          <w:szCs w:val="22"/>
          <w:lang w:eastAsia="en-US"/>
        </w:rPr>
        <w:t>8</w:t>
      </w:r>
      <w:r w:rsidRPr="00E36C3D">
        <w:rPr>
          <w:rFonts w:eastAsia="Calibri"/>
          <w:sz w:val="28"/>
          <w:szCs w:val="22"/>
          <w:lang w:eastAsia="en-US"/>
        </w:rPr>
        <w:t>. Выполнение руководителями учреждений, их заместителями, главными бухгалтерами дополнительной работы по совмещению и внутреннему совместительству разрешается в случаях замены временно отсутствующего специалиста по основной деятельности. Решения о работе по совмещению и внутреннему совместительству в отношении руководителей муниципальных учреждений принимаются Главой города Оби Новосибирской области, заместителей руководителей и главных бухгалтеров – руководителями учреждений.»;</w:t>
      </w:r>
    </w:p>
    <w:p w:rsidR="00610FD0" w:rsidRDefault="00610FD0" w:rsidP="00E36C3D">
      <w:pPr>
        <w:shd w:val="clear" w:color="auto" w:fill="FFFFFF"/>
        <w:snapToGrid/>
        <w:spacing w:before="0" w:after="0"/>
        <w:ind w:firstLine="709"/>
        <w:jc w:val="both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2"/>
          <w:lang w:eastAsia="en-US"/>
        </w:rPr>
        <w:t xml:space="preserve">1.6. </w:t>
      </w:r>
      <w:r w:rsidRPr="00610FD0">
        <w:rPr>
          <w:rFonts w:eastAsia="Calibri"/>
          <w:sz w:val="28"/>
          <w:szCs w:val="22"/>
          <w:lang w:eastAsia="en-US"/>
        </w:rPr>
        <w:t>пункт 5.</w:t>
      </w:r>
      <w:r>
        <w:rPr>
          <w:rFonts w:eastAsia="Calibri"/>
          <w:sz w:val="28"/>
          <w:szCs w:val="22"/>
          <w:lang w:eastAsia="en-US"/>
        </w:rPr>
        <w:t>12</w:t>
      </w:r>
      <w:r w:rsidRPr="00610FD0">
        <w:rPr>
          <w:rFonts w:eastAsia="Calibri"/>
          <w:sz w:val="28"/>
          <w:szCs w:val="22"/>
          <w:lang w:eastAsia="en-US"/>
        </w:rPr>
        <w:t>. изложить в следующей редакции:</w:t>
      </w:r>
    </w:p>
    <w:p w:rsidR="00610FD0" w:rsidRPr="00610FD0" w:rsidRDefault="00610FD0" w:rsidP="00610FD0">
      <w:pPr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«5.12. </w:t>
      </w:r>
      <w:r w:rsidRPr="00610FD0">
        <w:rPr>
          <w:rFonts w:eastAsia="Calibri"/>
          <w:sz w:val="28"/>
          <w:szCs w:val="28"/>
        </w:rPr>
        <w:t>Комиссия по установлению стимулирующих выплат руководителям учреждений, созданная в администрации</w:t>
      </w:r>
      <w:r w:rsidR="001B388B">
        <w:rPr>
          <w:rFonts w:eastAsia="Calibri"/>
          <w:sz w:val="28"/>
          <w:szCs w:val="28"/>
        </w:rPr>
        <w:t xml:space="preserve"> города Оби Новосибирской области</w:t>
      </w:r>
      <w:r w:rsidRPr="00610FD0">
        <w:rPr>
          <w:rFonts w:eastAsia="Calibri"/>
          <w:sz w:val="28"/>
          <w:szCs w:val="28"/>
        </w:rPr>
        <w:t>, ежеквартально оценивает результаты выполнения качественных показателей эффективности деятельности муниципальных учреждений и определяет конкретные размеры надбавки за качественные показатели эффективности деятельности руководителю учреждения, которые устанавливаются распоряжением администрации</w:t>
      </w:r>
      <w:r w:rsidR="001B388B" w:rsidRPr="001B388B">
        <w:rPr>
          <w:rFonts w:eastAsia="Calibri"/>
          <w:sz w:val="28"/>
          <w:szCs w:val="28"/>
        </w:rPr>
        <w:t xml:space="preserve"> </w:t>
      </w:r>
      <w:r w:rsidR="001B388B">
        <w:rPr>
          <w:rFonts w:eastAsia="Calibri"/>
          <w:sz w:val="28"/>
          <w:szCs w:val="28"/>
        </w:rPr>
        <w:t>города Оби Новосибирской области</w:t>
      </w:r>
      <w:r w:rsidR="004B5BED">
        <w:rPr>
          <w:rFonts w:eastAsia="Calibri"/>
          <w:sz w:val="28"/>
          <w:szCs w:val="28"/>
        </w:rPr>
        <w:t>.</w:t>
      </w:r>
      <w:r w:rsidRPr="00610FD0">
        <w:rPr>
          <w:rFonts w:eastAsia="Calibri"/>
          <w:sz w:val="28"/>
          <w:szCs w:val="28"/>
        </w:rPr>
        <w:t>»;</w:t>
      </w:r>
    </w:p>
    <w:p w:rsidR="00950D34" w:rsidRPr="000D16CF" w:rsidRDefault="00950D34" w:rsidP="000D16CF">
      <w:pPr>
        <w:pStyle w:val="a3"/>
        <w:numPr>
          <w:ilvl w:val="1"/>
          <w:numId w:val="14"/>
        </w:numPr>
        <w:autoSpaceDE w:val="0"/>
        <w:autoSpaceDN w:val="0"/>
        <w:adjustRightInd w:val="0"/>
        <w:spacing w:before="0" w:after="0"/>
        <w:jc w:val="both"/>
        <w:rPr>
          <w:rFonts w:eastAsia="Calibri"/>
          <w:sz w:val="28"/>
          <w:szCs w:val="28"/>
          <w:lang w:eastAsia="en-US"/>
        </w:rPr>
      </w:pPr>
      <w:r w:rsidRPr="000D16CF">
        <w:rPr>
          <w:rFonts w:eastAsia="Calibri"/>
          <w:sz w:val="28"/>
          <w:szCs w:val="28"/>
          <w:lang w:eastAsia="en-US"/>
        </w:rPr>
        <w:t xml:space="preserve">в пункте 5.13. таблицу </w:t>
      </w:r>
      <w:r w:rsidR="00833400">
        <w:rPr>
          <w:rFonts w:eastAsia="Calibri"/>
          <w:sz w:val="28"/>
          <w:szCs w:val="28"/>
          <w:lang w:eastAsia="en-US"/>
        </w:rPr>
        <w:t>изложить</w:t>
      </w:r>
      <w:r w:rsidRPr="000D16CF">
        <w:rPr>
          <w:rFonts w:eastAsia="Calibri"/>
          <w:sz w:val="28"/>
          <w:szCs w:val="28"/>
          <w:lang w:eastAsia="en-US"/>
        </w:rPr>
        <w:t xml:space="preserve"> в новой редакции:</w:t>
      </w:r>
    </w:p>
    <w:p w:rsidR="00DD299F" w:rsidRDefault="00DD299F" w:rsidP="00AC5317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</w:t>
      </w:r>
    </w:p>
    <w:p w:rsidR="004C4CEB" w:rsidRDefault="004C4CEB" w:rsidP="00AC5317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tbl>
      <w:tblPr>
        <w:tblW w:w="93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741"/>
        <w:gridCol w:w="2805"/>
        <w:gridCol w:w="4110"/>
        <w:gridCol w:w="1729"/>
      </w:tblGrid>
      <w:tr w:rsidR="00E374C2" w:rsidRPr="00D057E7" w:rsidTr="00895D83">
        <w:trPr>
          <w:trHeight w:val="126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D057E7" w:rsidRDefault="00E374C2" w:rsidP="00895D83">
            <w:pPr>
              <w:jc w:val="center"/>
              <w:rPr>
                <w:szCs w:val="24"/>
              </w:rPr>
            </w:pPr>
            <w:r w:rsidRPr="00D057E7">
              <w:rPr>
                <w:szCs w:val="24"/>
              </w:rPr>
              <w:lastRenderedPageBreak/>
              <w:t>№ п/п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D057E7" w:rsidRDefault="00E374C2" w:rsidP="00895D83">
            <w:pPr>
              <w:jc w:val="center"/>
              <w:rPr>
                <w:szCs w:val="24"/>
              </w:rPr>
            </w:pPr>
            <w:r w:rsidRPr="00D057E7">
              <w:rPr>
                <w:szCs w:val="24"/>
              </w:rPr>
              <w:t>Наименование показателя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D057E7" w:rsidRDefault="00E374C2" w:rsidP="00895D83">
            <w:pPr>
              <w:jc w:val="center"/>
              <w:rPr>
                <w:szCs w:val="24"/>
              </w:rPr>
            </w:pPr>
            <w:r w:rsidRPr="00D057E7">
              <w:rPr>
                <w:szCs w:val="24"/>
              </w:rPr>
              <w:t>Значение показателя, критерии оценки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374C2" w:rsidRPr="00D057E7" w:rsidRDefault="00E374C2" w:rsidP="00895D83">
            <w:pPr>
              <w:jc w:val="center"/>
              <w:rPr>
                <w:szCs w:val="24"/>
              </w:rPr>
            </w:pPr>
            <w:r w:rsidRPr="00D057E7">
              <w:rPr>
                <w:szCs w:val="24"/>
              </w:rPr>
              <w:t>Размер надбавки, % от должностного оклада</w:t>
            </w:r>
          </w:p>
        </w:tc>
      </w:tr>
      <w:tr w:rsidR="00E374C2" w:rsidRPr="00D057E7" w:rsidTr="00895D83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c>
          <w:tcPr>
            <w:tcW w:w="9385" w:type="dxa"/>
            <w:gridSpan w:val="4"/>
            <w:shd w:val="clear" w:color="auto" w:fill="auto"/>
          </w:tcPr>
          <w:p w:rsidR="00E374C2" w:rsidRPr="00D057E7" w:rsidRDefault="00E374C2" w:rsidP="00895D83">
            <w:pPr>
              <w:jc w:val="center"/>
              <w:rPr>
                <w:szCs w:val="24"/>
              </w:rPr>
            </w:pPr>
            <w:r w:rsidRPr="00D057E7">
              <w:rPr>
                <w:szCs w:val="24"/>
              </w:rPr>
              <w:t>1. </w:t>
            </w:r>
            <w:r w:rsidRPr="00D057E7">
              <w:rPr>
                <w:rFonts w:eastAsia="Calibri"/>
                <w:sz w:val="22"/>
                <w:szCs w:val="22"/>
                <w:lang w:eastAsia="en-US"/>
              </w:rPr>
              <w:t>Муниципальное бюджетное учреждение «Комплексный центр социального обслуживания населения города Оби «Забота»</w:t>
            </w:r>
          </w:p>
        </w:tc>
      </w:tr>
      <w:tr w:rsidR="001B388B" w:rsidRPr="001B388B" w:rsidTr="00895D83">
        <w:trPr>
          <w:trHeight w:val="170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1.1.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Выполнение муниципального задания при отсутствии объективных факторов (чрезвычайные ситуации, карантин, проведение ремонтных работ и др.)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- 95% и более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 от 90% до 94</w:t>
            </w:r>
            <w:r w:rsidR="00E04F2B" w:rsidRPr="001B388B">
              <w:rPr>
                <w:szCs w:val="24"/>
              </w:rPr>
              <w:t>,9</w:t>
            </w:r>
            <w:r w:rsidRPr="001B388B">
              <w:rPr>
                <w:szCs w:val="24"/>
              </w:rPr>
              <w:t>%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 от 85% до 89</w:t>
            </w:r>
            <w:r w:rsidR="00E04F2B" w:rsidRPr="001B388B">
              <w:rPr>
                <w:szCs w:val="24"/>
              </w:rPr>
              <w:t>,9</w:t>
            </w:r>
            <w:r w:rsidRPr="001B388B">
              <w:rPr>
                <w:szCs w:val="24"/>
              </w:rPr>
              <w:t>%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 от 80% до 84</w:t>
            </w:r>
            <w:r w:rsidR="00E04F2B" w:rsidRPr="001B388B">
              <w:rPr>
                <w:szCs w:val="24"/>
              </w:rPr>
              <w:t>,9</w:t>
            </w:r>
            <w:r w:rsidRPr="001B388B">
              <w:rPr>
                <w:szCs w:val="24"/>
              </w:rPr>
              <w:t xml:space="preserve"> %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 менее 80%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4</w:t>
            </w:r>
            <w:r w:rsidR="00E374C2" w:rsidRPr="001B388B">
              <w:rPr>
                <w:szCs w:val="24"/>
              </w:rPr>
              <w:t>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32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1.2.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Обеспечение комплексной безопасности учреждения 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Наличие и эффективное функционирование пожарной сигнализации и «тревожной кнопки», отсутствие зарегистрированных случаев травматизма граждан и работников учреждения за отчетный период, своевременная подготовка к отопительному сезону (отсутствие неисполненных в срок предписаний, представлений, замечаний со стороны органов государственного контроля (надзора) по итогам проведенных проверок)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i/>
                <w:szCs w:val="24"/>
              </w:rPr>
            </w:pPr>
            <w:r w:rsidRPr="001B388B">
              <w:rPr>
                <w:szCs w:val="24"/>
              </w:rPr>
              <w:t>Наличие неисполненных в срок предписаний, представлений, предложений или исполненных с нарушением указанных сроков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E374C2">
            <w:pPr>
              <w:rPr>
                <w:szCs w:val="24"/>
              </w:rPr>
            </w:pPr>
          </w:p>
          <w:p w:rsidR="00E374C2" w:rsidRPr="001B388B" w:rsidRDefault="00E374C2" w:rsidP="00E374C2">
            <w:pPr>
              <w:rPr>
                <w:szCs w:val="24"/>
              </w:rPr>
            </w:pPr>
          </w:p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E374C2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0</w:t>
            </w:r>
          </w:p>
        </w:tc>
      </w:tr>
      <w:tr w:rsidR="001B388B" w:rsidRPr="001B388B" w:rsidTr="00895D83">
        <w:trPr>
          <w:trHeight w:val="56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1.3.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Оснащенность учреждения помещениями, оборудованием, в том числе реабилитационным, оргтехникой и иными  средствами, необходимыми для качественного оказания социальных услуг и соответствующими установленным требованиям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Укомплектованность оборудованием, помещениями 100%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Укомплектованность оборудованием, помещениями менее 100%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</w:p>
        </w:tc>
      </w:tr>
      <w:tr w:rsidR="001B388B" w:rsidRPr="001B388B" w:rsidTr="00895D83">
        <w:trPr>
          <w:trHeight w:val="2741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>1.4.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Удовлетворенность граждан качеством и доступностью предоставления социальных услуг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Положительные результаты независимой оценки качества предоставления социальных услуг</w:t>
            </w:r>
            <w:r w:rsidRPr="001B388B">
              <w:rPr>
                <w:szCs w:val="24"/>
              </w:rPr>
              <w:br w:type="page"/>
            </w:r>
            <w:r w:rsidRPr="001B388B">
              <w:rPr>
                <w:szCs w:val="24"/>
              </w:rPr>
              <w:br w:type="page"/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Отсутствие жалоб, поступивших от граждан, на качество оказания социальных услуг, признанных обоснованными по результатам проверок министерства и (или) контрольно-надзорных органов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E374C2">
            <w:pPr>
              <w:rPr>
                <w:szCs w:val="24"/>
              </w:rPr>
            </w:pPr>
          </w:p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E374C2">
            <w:pPr>
              <w:rPr>
                <w:szCs w:val="24"/>
              </w:rPr>
            </w:pPr>
          </w:p>
          <w:p w:rsidR="00E374C2" w:rsidRPr="001B388B" w:rsidRDefault="00E374C2" w:rsidP="00E374C2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 5</w:t>
            </w:r>
          </w:p>
        </w:tc>
      </w:tr>
      <w:tr w:rsidR="001B388B" w:rsidRPr="001B388B" w:rsidTr="00895D83">
        <w:trPr>
          <w:trHeight w:val="300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E155ED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 xml:space="preserve">Итого по пункту </w:t>
            </w:r>
            <w:r w:rsidR="00E155ED" w:rsidRPr="001B388B">
              <w:rPr>
                <w:szCs w:val="24"/>
              </w:rPr>
              <w:t>1</w:t>
            </w:r>
            <w:r w:rsidRPr="001B388B">
              <w:rPr>
                <w:szCs w:val="24"/>
              </w:rPr>
              <w:t>.4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EA632C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до 1</w:t>
            </w:r>
            <w:r w:rsidR="00EA632C" w:rsidRPr="001B388B">
              <w:rPr>
                <w:szCs w:val="24"/>
              </w:rPr>
              <w:t>5</w:t>
            </w:r>
          </w:p>
        </w:tc>
      </w:tr>
      <w:tr w:rsidR="001B388B" w:rsidRPr="001B388B" w:rsidTr="00895D83">
        <w:trPr>
          <w:trHeight w:val="975"/>
        </w:trPr>
        <w:tc>
          <w:tcPr>
            <w:tcW w:w="7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1.5.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both"/>
              <w:rPr>
                <w:szCs w:val="24"/>
              </w:rPr>
            </w:pPr>
            <w:r w:rsidRPr="001B388B">
              <w:rPr>
                <w:szCs w:val="24"/>
              </w:rPr>
              <w:t>Обеспечение информационной открытости учреждения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Обеспечение регистрации и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Отсутствие регистрации и (или) своевременного (в течение пяти рабочих дней) размещения информации об учреждении в соответствии с установленными показателями на федеральном портале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45566C" w:rsidP="0045566C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</w:t>
            </w:r>
            <w:r w:rsidR="00EA632C" w:rsidRPr="001B388B">
              <w:rPr>
                <w:szCs w:val="24"/>
              </w:rPr>
              <w:t>15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45566C" w:rsidRPr="001B388B" w:rsidRDefault="0045566C" w:rsidP="0045566C">
            <w:pPr>
              <w:rPr>
                <w:szCs w:val="24"/>
              </w:rPr>
            </w:pPr>
          </w:p>
          <w:p w:rsidR="0045566C" w:rsidRPr="001B388B" w:rsidRDefault="0045566C" w:rsidP="0045566C">
            <w:pPr>
              <w:rPr>
                <w:szCs w:val="24"/>
              </w:rPr>
            </w:pPr>
          </w:p>
          <w:p w:rsidR="00E374C2" w:rsidRPr="001B388B" w:rsidRDefault="0045566C" w:rsidP="0045566C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</w:t>
            </w:r>
            <w:r w:rsidR="00E374C2"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28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1.6.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Проведение информационно-разъяснительной работы среди граждан, а также популяризация деятельности учреждения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Наличие в учреждении стендов с информацией о перечне предоставляемых услуг, в том числе на платной основе, о поставщиках социальных услуг, о правах и обязанностях граждан, получающих социальные услуги, о составе попечительского (наблюдательного) совета, о действующем социальном законодательстве и с другой информацией, и наличие в учреждении официального Интернет-сайта и его системное сопровождение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Невыполнение одного или нескольких из вышеуказанных критериев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45566C" w:rsidP="0045566C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</w:t>
            </w:r>
            <w:r w:rsidR="00EA632C" w:rsidRPr="001B388B">
              <w:rPr>
                <w:szCs w:val="24"/>
              </w:rPr>
              <w:t xml:space="preserve"> 15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45566C" w:rsidP="0045566C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</w:t>
            </w:r>
            <w:r w:rsidR="00E374C2"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459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1.7.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both"/>
              <w:rPr>
                <w:szCs w:val="24"/>
              </w:rPr>
            </w:pPr>
            <w:r w:rsidRPr="001B388B">
              <w:rPr>
                <w:szCs w:val="24"/>
              </w:rPr>
              <w:t xml:space="preserve">Качество предоставления муниципальных услуг </w:t>
            </w:r>
            <w:r w:rsidRPr="001B388B">
              <w:rPr>
                <w:szCs w:val="24"/>
              </w:rPr>
              <w:lastRenderedPageBreak/>
              <w:t>(выполнения работ) в соответствии с муниципальным заданием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 xml:space="preserve">Показатель определяется в зависимости от вида учреждения, в соответствии с </w:t>
            </w:r>
            <w:proofErr w:type="spellStart"/>
            <w:r w:rsidRPr="001B388B">
              <w:rPr>
                <w:szCs w:val="24"/>
              </w:rPr>
              <w:t>п.</w:t>
            </w:r>
            <w:r w:rsidR="003C0C7C">
              <w:rPr>
                <w:szCs w:val="24"/>
              </w:rPr>
              <w:t>п</w:t>
            </w:r>
            <w:proofErr w:type="spellEnd"/>
            <w:r w:rsidR="003C0C7C">
              <w:rPr>
                <w:szCs w:val="24"/>
              </w:rPr>
              <w:t xml:space="preserve">. </w:t>
            </w:r>
            <w:r w:rsidRPr="001B388B">
              <w:rPr>
                <w:szCs w:val="24"/>
              </w:rPr>
              <w:t> 5.13.1</w:t>
            </w:r>
            <w:r w:rsidR="003C0C7C">
              <w:rPr>
                <w:szCs w:val="24"/>
              </w:rPr>
              <w:t xml:space="preserve"> п.5.13.</w:t>
            </w:r>
            <w:r w:rsidRPr="001B388B">
              <w:rPr>
                <w:szCs w:val="24"/>
              </w:rPr>
              <w:t xml:space="preserve"> </w:t>
            </w:r>
            <w:r w:rsidRPr="001B388B">
              <w:rPr>
                <w:szCs w:val="24"/>
              </w:rPr>
              <w:lastRenderedPageBreak/>
              <w:t>Положения:</w:t>
            </w:r>
          </w:p>
          <w:p w:rsidR="00E374C2" w:rsidRDefault="004922E8" w:rsidP="00895D83">
            <w:r w:rsidRPr="00D057E7">
              <w:t>Доля граждан, получивших социальные услуги, от общего числа обратившихся в учреждение граждан за отчетный период</w:t>
            </w:r>
            <w:r>
              <w:t>:</w:t>
            </w:r>
          </w:p>
          <w:p w:rsidR="004922E8" w:rsidRPr="00D057E7" w:rsidRDefault="004922E8" w:rsidP="004922E8">
            <w:r w:rsidRPr="00D057E7">
              <w:t>от 65% до 100%</w:t>
            </w:r>
          </w:p>
          <w:p w:rsidR="004922E8" w:rsidRPr="00D057E7" w:rsidRDefault="004922E8" w:rsidP="004922E8">
            <w:r w:rsidRPr="00D057E7">
              <w:t>от 35% до 64%</w:t>
            </w:r>
          </w:p>
          <w:p w:rsidR="004922E8" w:rsidRPr="001B388B" w:rsidRDefault="004922E8" w:rsidP="004922E8">
            <w:pPr>
              <w:rPr>
                <w:szCs w:val="24"/>
              </w:rPr>
            </w:pPr>
            <w:r w:rsidRPr="00D057E7">
              <w:t>менее 35%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Default="00E374C2" w:rsidP="0045566C">
            <w:pPr>
              <w:rPr>
                <w:szCs w:val="24"/>
              </w:rPr>
            </w:pPr>
          </w:p>
          <w:p w:rsidR="00BA1867" w:rsidRPr="00D057E7" w:rsidRDefault="00BA1867" w:rsidP="00BA1867">
            <w:pPr>
              <w:jc w:val="center"/>
            </w:pPr>
            <w:r w:rsidRPr="00D057E7">
              <w:t>50</w:t>
            </w:r>
          </w:p>
          <w:p w:rsidR="00BA1867" w:rsidRPr="00D057E7" w:rsidRDefault="00BA1867" w:rsidP="00BA1867">
            <w:pPr>
              <w:jc w:val="center"/>
            </w:pPr>
            <w:r w:rsidRPr="00D057E7">
              <w:t>30</w:t>
            </w:r>
          </w:p>
          <w:p w:rsidR="00BA1867" w:rsidRPr="001B388B" w:rsidRDefault="00BA1867" w:rsidP="00BA1867">
            <w:pPr>
              <w:rPr>
                <w:szCs w:val="24"/>
              </w:rPr>
            </w:pPr>
            <w:r>
              <w:t xml:space="preserve">            </w:t>
            </w:r>
            <w:r w:rsidRPr="00D057E7">
              <w:t>0</w:t>
            </w:r>
          </w:p>
        </w:tc>
      </w:tr>
      <w:tr w:rsidR="001B388B" w:rsidRPr="001B388B" w:rsidTr="00895D83">
        <w:trPr>
          <w:trHeight w:val="15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>1.8.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4D08B1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Своевременность  пред</w:t>
            </w:r>
            <w:r w:rsidR="00E374C2" w:rsidRPr="001B388B">
              <w:rPr>
                <w:szCs w:val="24"/>
              </w:rPr>
              <w:t>ставления месячных, квартальных и годовых отчетов, планов финансово-хозяйственной деятельности, статистической отчетности, других сведений, их качество и достоверность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Соблюдение сроков, установленных порядков и форм представления сведений, отчетов и статистической отчетности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Нарушение сроков, установленных порядков и форм представления сведений, отчетов и статистической отчетности 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45566C" w:rsidP="0045566C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</w:t>
            </w:r>
            <w:r w:rsidR="00EA632C" w:rsidRPr="001B388B">
              <w:rPr>
                <w:szCs w:val="24"/>
              </w:rPr>
              <w:t>2</w:t>
            </w:r>
            <w:r w:rsidR="00E374C2" w:rsidRPr="001B388B">
              <w:rPr>
                <w:szCs w:val="24"/>
              </w:rPr>
              <w:t>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45566C" w:rsidP="0045566C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</w:t>
            </w:r>
            <w:r w:rsidR="00E374C2"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1562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1.9.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Эффективность использования бюджетных и внебюджетных средств, в том числе в рамках муниципального задания;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эффективность расходования средств, полученных от взимания платы с граждан за предоставление социальных услуг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Отсутствие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 w:rsidRPr="001B388B">
              <w:rPr>
                <w:szCs w:val="24"/>
              </w:rPr>
              <w:br w:type="page"/>
            </w:r>
            <w:r w:rsidRPr="001B388B">
              <w:rPr>
                <w:szCs w:val="24"/>
              </w:rPr>
              <w:br w:type="page"/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4D08B1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Налич</w:t>
            </w:r>
            <w:r w:rsidR="00E374C2" w:rsidRPr="001B388B">
              <w:rPr>
                <w:szCs w:val="24"/>
              </w:rPr>
              <w:t>ие просроченной дебиторской и кредиторской задолженности и установленных в ходе проверок нарушений финансово-хозяйственной деятельности, приведших к нецелевому и неэффективному расходованию средств в течение учетного периода</w:t>
            </w:r>
            <w:r w:rsidR="00E374C2" w:rsidRPr="001B388B">
              <w:rPr>
                <w:szCs w:val="24"/>
              </w:rPr>
              <w:br w:type="page"/>
            </w:r>
            <w:r w:rsidR="00E374C2" w:rsidRPr="001B388B">
              <w:rPr>
                <w:szCs w:val="24"/>
              </w:rPr>
              <w:br w:type="page"/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45566C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45566C">
            <w:pPr>
              <w:rPr>
                <w:szCs w:val="24"/>
              </w:rPr>
            </w:pPr>
          </w:p>
          <w:p w:rsidR="00E374C2" w:rsidRPr="001B388B" w:rsidRDefault="002F0899" w:rsidP="002F0899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</w:t>
            </w:r>
            <w:r w:rsidR="00E374C2"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1174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1.10.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Укомплектованность учреждения работниками, относящимися к основному персоналу</w:t>
            </w:r>
          </w:p>
        </w:tc>
        <w:tc>
          <w:tcPr>
            <w:tcW w:w="4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Доля укомплектованности от 75% до 100%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Доля укомплектованности менее 75%</w:t>
            </w:r>
          </w:p>
        </w:tc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20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29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1.11.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Соблюдение сроков повышения </w:t>
            </w:r>
            <w:r w:rsidRPr="001B388B">
              <w:rPr>
                <w:szCs w:val="24"/>
              </w:rPr>
              <w:lastRenderedPageBreak/>
              <w:t>квалификации работников учреждения, относящихся к основному персоналу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 xml:space="preserve">Соблюдение установленных сроков повышения квалификации </w:t>
            </w:r>
            <w:r w:rsidRPr="001B388B">
              <w:rPr>
                <w:szCs w:val="24"/>
              </w:rPr>
              <w:lastRenderedPageBreak/>
              <w:t>работников (</w:t>
            </w:r>
            <w:r w:rsidRPr="001B388B">
              <w:rPr>
                <w:szCs w:val="24"/>
              </w:rPr>
              <w:br w:type="page"/>
            </w:r>
            <w:r w:rsidRPr="001B388B">
              <w:rPr>
                <w:szCs w:val="24"/>
              </w:rPr>
              <w:br w:type="page"/>
              <w:t>для иных специалистов и социальных работников - не реже, чем 1 раз в 3 - 5 лет)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Несоблюдение установленных сроков повышения квалификации работников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20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2F0899" w:rsidP="002F0899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</w:t>
            </w:r>
            <w:r w:rsidR="00E374C2"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84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>1.12.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Соблюдение целевого соотношения фонда оплаты труда основного и вспомогательного персонала учреждения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1B388B">
              <w:rPr>
                <w:rFonts w:eastAsia="Calibri"/>
                <w:szCs w:val="24"/>
              </w:rPr>
              <w:t>Доля расходов на оплату труда основного персонала в фонде оплаты труда учреждения составляет не менее 70 процентов</w:t>
            </w:r>
          </w:p>
          <w:p w:rsidR="00E374C2" w:rsidRPr="001B388B" w:rsidRDefault="00E374C2" w:rsidP="00895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</w:p>
          <w:p w:rsidR="00E374C2" w:rsidRPr="001B388B" w:rsidRDefault="00E374C2" w:rsidP="00895D8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4"/>
              </w:rPr>
            </w:pPr>
            <w:r w:rsidRPr="001B388B">
              <w:rPr>
                <w:rFonts w:eastAsia="Calibri"/>
                <w:szCs w:val="24"/>
              </w:rPr>
              <w:t>Доля расходов на оплату труда основного персонала в фонде оплаты труда учреждения составляет от 60 до 69 процентов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45566C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45566C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i/>
                <w:szCs w:val="24"/>
              </w:rPr>
            </w:pPr>
            <w:r w:rsidRPr="001B388B">
              <w:rPr>
                <w:szCs w:val="24"/>
              </w:rPr>
              <w:t>0</w:t>
            </w:r>
          </w:p>
        </w:tc>
      </w:tr>
      <w:tr w:rsidR="001B388B" w:rsidRPr="001B388B" w:rsidTr="002B798F">
        <w:trPr>
          <w:trHeight w:val="312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32C" w:rsidRPr="001B388B" w:rsidRDefault="00EA632C" w:rsidP="00EA632C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1.13.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632C" w:rsidRPr="001B388B" w:rsidRDefault="00EA632C" w:rsidP="00A04CAA">
            <w:pPr>
              <w:autoSpaceDE w:val="0"/>
              <w:autoSpaceDN w:val="0"/>
              <w:adjustRightInd w:val="0"/>
              <w:spacing w:after="0"/>
              <w:rPr>
                <w:rFonts w:eastAsia="Calibri"/>
                <w:szCs w:val="24"/>
              </w:rPr>
            </w:pPr>
            <w:r w:rsidRPr="001B388B">
              <w:rPr>
                <w:szCs w:val="24"/>
              </w:rPr>
              <w:t xml:space="preserve">Эффективность управленческой деятельности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160" w:line="259" w:lineRule="auto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назначается при отсутствии следующих случаев: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- наличия конфликтных ситуаций в коллективе (обоснованных обращений работников учреждения в министерство, администрацию, другие органы);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- нарушения сроков (низкого качества) выполнения приказов, поручений, заданий министра труда и социального развития Новосибирской области, Главы города Оби Новосибирской области или уполномоченных должностных лиц министерства, администрации;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-</w:t>
            </w:r>
            <w:proofErr w:type="spellStart"/>
            <w:r w:rsidRPr="002B798F">
              <w:rPr>
                <w:iCs/>
                <w:szCs w:val="24"/>
              </w:rPr>
              <w:t>непредоставления</w:t>
            </w:r>
            <w:proofErr w:type="spellEnd"/>
            <w:r w:rsidRPr="002B798F">
              <w:rPr>
                <w:iCs/>
                <w:szCs w:val="24"/>
              </w:rPr>
              <w:t>, предоставления неполной, некачественной отчетности и информации в министерство, администрацию;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- нарушений и недостатков, выявленных в ходе проверок и ревизий;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- применения к руководителю учреждения дисциплинарного взыскания;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  <w:r w:rsidRPr="002B798F">
              <w:rPr>
                <w:iCs/>
                <w:szCs w:val="24"/>
              </w:rPr>
              <w:t>- </w:t>
            </w:r>
            <w:proofErr w:type="spellStart"/>
            <w:r w:rsidRPr="002B798F">
              <w:rPr>
                <w:rFonts w:eastAsia="Calibri"/>
                <w:szCs w:val="24"/>
                <w:lang w:eastAsia="en-US"/>
              </w:rPr>
              <w:t>несохранения</w:t>
            </w:r>
            <w:proofErr w:type="spellEnd"/>
            <w:r w:rsidRPr="002B798F">
              <w:rPr>
                <w:rFonts w:eastAsia="Calibri"/>
                <w:szCs w:val="24"/>
                <w:lang w:eastAsia="en-US"/>
              </w:rPr>
              <w:t xml:space="preserve"> достигнутого соотношения между уровнем оплаты труда отдельных категорий работников учреждения и уровнем средней заработной платы в Новосибирской области (в случае </w:t>
            </w:r>
            <w:r w:rsidRPr="002B798F">
              <w:rPr>
                <w:rFonts w:eastAsia="Calibri"/>
                <w:szCs w:val="24"/>
                <w:lang w:eastAsia="en-US"/>
              </w:rPr>
              <w:lastRenderedPageBreak/>
              <w:t>если работники учреждения относятся к категориям работников, определенным Указами Президента Российской Федерации от 07.05.2012 № 597 «О мероприятиях по реализации государственной социальной политики»</w:t>
            </w: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0"/>
              <w:ind w:firstLine="708"/>
              <w:jc w:val="both"/>
              <w:rPr>
                <w:rFonts w:eastAsia="Calibri"/>
                <w:szCs w:val="24"/>
                <w:lang w:eastAsia="en-US"/>
              </w:rPr>
            </w:pPr>
          </w:p>
          <w:p w:rsidR="002B798F" w:rsidRPr="002B798F" w:rsidRDefault="002B798F" w:rsidP="002B798F">
            <w:pPr>
              <w:widowControl w:val="0"/>
              <w:autoSpaceDE w:val="0"/>
              <w:autoSpaceDN w:val="0"/>
              <w:adjustRightInd w:val="0"/>
              <w:snapToGrid/>
              <w:spacing w:before="0" w:after="160" w:line="259" w:lineRule="auto"/>
              <w:ind w:firstLine="708"/>
              <w:jc w:val="both"/>
              <w:rPr>
                <w:iCs/>
                <w:szCs w:val="24"/>
              </w:rPr>
            </w:pPr>
            <w:r w:rsidRPr="002B798F">
              <w:rPr>
                <w:iCs/>
                <w:szCs w:val="24"/>
              </w:rPr>
              <w:t>Не назначается при наличии вышеперечисленных случаев</w:t>
            </w:r>
          </w:p>
          <w:p w:rsidR="00EA632C" w:rsidRPr="001B388B" w:rsidRDefault="00EA632C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Cs w:val="24"/>
              </w:rPr>
            </w:pP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EA632C" w:rsidRDefault="00EA632C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10</w:t>
            </w: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</w:p>
          <w:p w:rsidR="002B798F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szCs w:val="24"/>
              </w:rPr>
            </w:pPr>
            <w:r>
              <w:rPr>
                <w:szCs w:val="24"/>
              </w:rPr>
              <w:t>0</w:t>
            </w:r>
          </w:p>
          <w:p w:rsidR="002B798F" w:rsidRPr="001B388B" w:rsidRDefault="002B798F" w:rsidP="00EA632C">
            <w:pPr>
              <w:autoSpaceDE w:val="0"/>
              <w:autoSpaceDN w:val="0"/>
              <w:adjustRightInd w:val="0"/>
              <w:spacing w:after="0"/>
              <w:jc w:val="center"/>
              <w:rPr>
                <w:rFonts w:eastAsia="Calibri"/>
                <w:szCs w:val="24"/>
              </w:rPr>
            </w:pPr>
          </w:p>
        </w:tc>
      </w:tr>
      <w:tr w:rsidR="001B388B" w:rsidRPr="001B388B" w:rsidTr="00895D83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>1.14.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Рост средней заработной платы по учреждению в отчетном периоде по сравнению с аналогичным периодом предыдущего года без учета повышения заработной платы в соответствии с нормативными правовыми актами Губернатора Новосибирской области и Правительства Новосибирской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Да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Нет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1863"/>
        </w:trPr>
        <w:tc>
          <w:tcPr>
            <w:tcW w:w="7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1.15.</w:t>
            </w:r>
          </w:p>
        </w:tc>
        <w:tc>
          <w:tcPr>
            <w:tcW w:w="280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Участие в конкурсах социально значимых проектов  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Получение грантов(субсидий) по итогам участия в конкурсах социально значимых проектов 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45566C" w:rsidRPr="001B388B" w:rsidRDefault="0045566C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Участие в конкурсах: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-всероссийский уровень;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-региональный уровень;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-муниципальный уровень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  </w:t>
            </w: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           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 xml:space="preserve"> 10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 xml:space="preserve"> 5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</w:tc>
      </w:tr>
      <w:tr w:rsidR="001B388B" w:rsidRPr="001B388B" w:rsidTr="00895D83">
        <w:trPr>
          <w:trHeight w:val="79"/>
        </w:trPr>
        <w:tc>
          <w:tcPr>
            <w:tcW w:w="7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</w:tc>
        <w:tc>
          <w:tcPr>
            <w:tcW w:w="280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E155ED">
            <w:pPr>
              <w:ind w:firstLine="709"/>
              <w:rPr>
                <w:szCs w:val="24"/>
              </w:rPr>
            </w:pPr>
            <w:r w:rsidRPr="001B388B">
              <w:rPr>
                <w:szCs w:val="24"/>
              </w:rPr>
              <w:t xml:space="preserve">Итого по пункту </w:t>
            </w:r>
            <w:r w:rsidR="00E155ED" w:rsidRPr="001B388B">
              <w:rPr>
                <w:szCs w:val="24"/>
              </w:rPr>
              <w:t>1</w:t>
            </w:r>
            <w:r w:rsidRPr="001B388B">
              <w:rPr>
                <w:szCs w:val="24"/>
              </w:rPr>
              <w:t>.15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до 40</w:t>
            </w:r>
          </w:p>
        </w:tc>
      </w:tr>
      <w:tr w:rsidR="001B388B" w:rsidRPr="001B388B" w:rsidTr="00895D83">
        <w:trPr>
          <w:trHeight w:val="300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B388B" w:rsidRDefault="00E374C2" w:rsidP="00895D83">
            <w:pPr>
              <w:spacing w:after="160"/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 xml:space="preserve">1.16.   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B388B" w:rsidRDefault="00E374C2" w:rsidP="00895D83">
            <w:pPr>
              <w:spacing w:after="160"/>
              <w:rPr>
                <w:szCs w:val="24"/>
              </w:rPr>
            </w:pPr>
            <w:r w:rsidRPr="001B388B">
              <w:rPr>
                <w:szCs w:val="24"/>
              </w:rPr>
              <w:t>Организация мероприятий для детей с ограниченными возможностями здоровья</w:t>
            </w:r>
          </w:p>
        </w:tc>
        <w:tc>
          <w:tcPr>
            <w:tcW w:w="4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B388B" w:rsidRDefault="00E374C2" w:rsidP="00895D83">
            <w:pPr>
              <w:spacing w:after="160"/>
              <w:rPr>
                <w:szCs w:val="24"/>
              </w:rPr>
            </w:pPr>
            <w:r w:rsidRPr="001B388B">
              <w:rPr>
                <w:szCs w:val="24"/>
              </w:rPr>
              <w:t>Реализация реабилитационных программ в учреждении</w:t>
            </w:r>
          </w:p>
          <w:p w:rsidR="00E374C2" w:rsidRPr="001B388B" w:rsidRDefault="00E374C2" w:rsidP="00895D83">
            <w:pPr>
              <w:spacing w:after="160"/>
              <w:rPr>
                <w:szCs w:val="24"/>
              </w:rPr>
            </w:pPr>
          </w:p>
          <w:p w:rsidR="00E374C2" w:rsidRPr="001B388B" w:rsidRDefault="00E374C2" w:rsidP="00895D83">
            <w:pPr>
              <w:spacing w:after="160"/>
              <w:rPr>
                <w:szCs w:val="24"/>
              </w:rPr>
            </w:pPr>
            <w:r w:rsidRPr="001B388B">
              <w:rPr>
                <w:szCs w:val="24"/>
              </w:rPr>
              <w:t>Отсутствие реализации реабилитационных программ в учреждении</w:t>
            </w:r>
          </w:p>
        </w:tc>
        <w:tc>
          <w:tcPr>
            <w:tcW w:w="1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B388B" w:rsidRDefault="00E374C2" w:rsidP="00895D83">
            <w:pPr>
              <w:spacing w:after="160"/>
              <w:jc w:val="center"/>
              <w:rPr>
                <w:szCs w:val="24"/>
              </w:rPr>
            </w:pPr>
          </w:p>
          <w:p w:rsidR="00E374C2" w:rsidRPr="001B388B" w:rsidRDefault="0045566C" w:rsidP="00895D83">
            <w:pPr>
              <w:spacing w:after="160"/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</w:t>
            </w:r>
            <w:r w:rsidR="00E374C2" w:rsidRPr="001B388B">
              <w:rPr>
                <w:szCs w:val="24"/>
              </w:rPr>
              <w:t>5</w:t>
            </w:r>
          </w:p>
          <w:p w:rsidR="00E374C2" w:rsidRPr="001B388B" w:rsidRDefault="00E374C2" w:rsidP="00895D83">
            <w:pPr>
              <w:spacing w:after="160"/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spacing w:after="160"/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spacing w:after="160"/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0</w:t>
            </w:r>
          </w:p>
        </w:tc>
      </w:tr>
      <w:tr w:rsidR="001B388B" w:rsidRPr="001B388B" w:rsidTr="00895D83">
        <w:trPr>
          <w:trHeight w:val="1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1.17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 xml:space="preserve">Выполнение учреждением квоты по </w:t>
            </w:r>
            <w:r w:rsidRPr="001B388B">
              <w:rPr>
                <w:szCs w:val="24"/>
              </w:rPr>
              <w:lastRenderedPageBreak/>
              <w:t>приему на работу инвалидов (в случае установления учреждению квоты для приема на работу инвалидов в соответствии с Законом Новосибирской области от 12.03.1999 № 45-ОЗ «О социальной защите инвалидов в Новосибирской области»)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 xml:space="preserve">Квота по приему на работу </w:t>
            </w:r>
            <w:r w:rsidRPr="001B388B">
              <w:rPr>
                <w:szCs w:val="24"/>
              </w:rPr>
              <w:lastRenderedPageBreak/>
              <w:t>инвалидов выполняется</w:t>
            </w:r>
          </w:p>
          <w:p w:rsidR="00E374C2" w:rsidRPr="001B388B" w:rsidRDefault="00E374C2" w:rsidP="00895D83">
            <w:pPr>
              <w:rPr>
                <w:szCs w:val="24"/>
              </w:rPr>
            </w:pPr>
          </w:p>
          <w:p w:rsidR="00E374C2" w:rsidRPr="001B388B" w:rsidRDefault="00E374C2" w:rsidP="00895D83">
            <w:pPr>
              <w:rPr>
                <w:szCs w:val="24"/>
              </w:rPr>
            </w:pPr>
            <w:r w:rsidRPr="001B388B">
              <w:rPr>
                <w:szCs w:val="24"/>
              </w:rPr>
              <w:t>Квота по приему на работу инвалидов не выполняется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>5</w:t>
            </w: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0</w:t>
            </w:r>
          </w:p>
        </w:tc>
      </w:tr>
      <w:tr w:rsidR="001B388B" w:rsidRPr="001B388B" w:rsidTr="0075217C">
        <w:trPr>
          <w:trHeight w:val="161"/>
        </w:trPr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A632C" w:rsidRPr="001B388B" w:rsidRDefault="00EA632C" w:rsidP="00EA632C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lastRenderedPageBreak/>
              <w:t>1.18</w:t>
            </w:r>
          </w:p>
        </w:tc>
        <w:tc>
          <w:tcPr>
            <w:tcW w:w="2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C" w:rsidRPr="001B388B" w:rsidRDefault="00EA632C" w:rsidP="00EA632C">
            <w:pPr>
              <w:widowControl w:val="0"/>
              <w:autoSpaceDE w:val="0"/>
              <w:autoSpaceDN w:val="0"/>
              <w:spacing w:after="0"/>
              <w:rPr>
                <w:szCs w:val="24"/>
              </w:rPr>
            </w:pPr>
            <w:r w:rsidRPr="001B388B">
              <w:rPr>
                <w:szCs w:val="24"/>
              </w:rPr>
              <w:t>Достижение значений целевых показателей, установленных планом мероприятий («дорожной картой») по содействию развитию конкуренции в Новосибирской области</w:t>
            </w: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632C" w:rsidRPr="001B388B" w:rsidRDefault="00EA632C" w:rsidP="00EA632C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  <w:r w:rsidRPr="001B388B">
              <w:rPr>
                <w:szCs w:val="24"/>
              </w:rPr>
              <w:t>Достигнуты значения, установленные постановлением Губернатора Новосибирской области от 20.12.2019 № 287</w:t>
            </w:r>
          </w:p>
          <w:p w:rsidR="00EA632C" w:rsidRPr="001B388B" w:rsidRDefault="00EA632C" w:rsidP="00EA632C">
            <w:pPr>
              <w:autoSpaceDE w:val="0"/>
              <w:autoSpaceDN w:val="0"/>
              <w:spacing w:after="0"/>
              <w:ind w:right="80"/>
              <w:jc w:val="both"/>
              <w:rPr>
                <w:szCs w:val="24"/>
              </w:rPr>
            </w:pPr>
          </w:p>
          <w:p w:rsidR="00EA632C" w:rsidRPr="001B388B" w:rsidRDefault="00EA632C" w:rsidP="00EA632C">
            <w:pPr>
              <w:autoSpaceDE w:val="0"/>
              <w:autoSpaceDN w:val="0"/>
              <w:spacing w:after="0"/>
              <w:ind w:right="80"/>
              <w:rPr>
                <w:szCs w:val="24"/>
              </w:rPr>
            </w:pPr>
            <w:r w:rsidRPr="001B388B">
              <w:rPr>
                <w:szCs w:val="24"/>
              </w:rPr>
              <w:t>Не достигнуты значения, установленные постановлением Губернатора Новосибирской области от 20.12.2019 № 287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632C" w:rsidRPr="001B388B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B388B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B388B" w:rsidRDefault="00EA632C" w:rsidP="00EA632C">
            <w:pPr>
              <w:spacing w:after="0"/>
              <w:ind w:right="-108"/>
              <w:rPr>
                <w:szCs w:val="24"/>
              </w:rPr>
            </w:pPr>
            <w:r w:rsidRPr="001B388B">
              <w:rPr>
                <w:szCs w:val="24"/>
              </w:rPr>
              <w:t xml:space="preserve">           5</w:t>
            </w:r>
          </w:p>
          <w:p w:rsidR="00EA632C" w:rsidRPr="001B388B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B388B" w:rsidRDefault="00EA632C" w:rsidP="00EA632C">
            <w:pPr>
              <w:spacing w:after="0"/>
              <w:ind w:right="-108"/>
              <w:jc w:val="center"/>
              <w:rPr>
                <w:szCs w:val="24"/>
              </w:rPr>
            </w:pPr>
          </w:p>
          <w:p w:rsidR="00EA632C" w:rsidRPr="001B388B" w:rsidRDefault="00EA632C" w:rsidP="00EA632C">
            <w:pPr>
              <w:spacing w:after="0"/>
              <w:ind w:right="-108"/>
              <w:rPr>
                <w:szCs w:val="24"/>
              </w:rPr>
            </w:pPr>
            <w:r w:rsidRPr="001B388B">
              <w:rPr>
                <w:szCs w:val="24"/>
              </w:rPr>
              <w:t xml:space="preserve">           </w:t>
            </w:r>
          </w:p>
          <w:p w:rsidR="00EA632C" w:rsidRPr="001B388B" w:rsidRDefault="00EA632C" w:rsidP="00EA632C">
            <w:pPr>
              <w:spacing w:after="0"/>
              <w:ind w:right="-108"/>
              <w:rPr>
                <w:szCs w:val="24"/>
              </w:rPr>
            </w:pPr>
            <w:r w:rsidRPr="001B388B">
              <w:rPr>
                <w:szCs w:val="24"/>
              </w:rPr>
              <w:t xml:space="preserve">           0</w:t>
            </w:r>
          </w:p>
        </w:tc>
      </w:tr>
      <w:tr w:rsidR="001B388B" w:rsidRPr="001B388B" w:rsidTr="00895D83">
        <w:trPr>
          <w:trHeight w:val="161"/>
        </w:trPr>
        <w:tc>
          <w:tcPr>
            <w:tcW w:w="76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 xml:space="preserve">Итого по </w:t>
            </w:r>
            <w:r w:rsidRPr="001B388B">
              <w:rPr>
                <w:rFonts w:eastAsia="Calibri"/>
                <w:sz w:val="22"/>
                <w:szCs w:val="22"/>
                <w:lang w:eastAsia="en-US"/>
              </w:rPr>
              <w:t>муниципальному бюджетному учреждению «Комплексный центр социального обслуживания населения города Оби «Забота»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374C2" w:rsidRPr="001B388B" w:rsidRDefault="00E374C2" w:rsidP="00895D83">
            <w:pPr>
              <w:jc w:val="center"/>
              <w:rPr>
                <w:szCs w:val="24"/>
              </w:rPr>
            </w:pPr>
          </w:p>
          <w:p w:rsidR="00E374C2" w:rsidRPr="001B388B" w:rsidRDefault="00EA632C" w:rsidP="00895D83">
            <w:pPr>
              <w:jc w:val="center"/>
              <w:rPr>
                <w:szCs w:val="24"/>
              </w:rPr>
            </w:pPr>
            <w:r w:rsidRPr="001B388B">
              <w:rPr>
                <w:szCs w:val="24"/>
              </w:rPr>
              <w:t>До 32</w:t>
            </w:r>
            <w:r w:rsidR="0045566C" w:rsidRPr="001B388B">
              <w:rPr>
                <w:szCs w:val="24"/>
              </w:rPr>
              <w:t>5</w:t>
            </w:r>
          </w:p>
        </w:tc>
      </w:tr>
    </w:tbl>
    <w:p w:rsidR="004D08B1" w:rsidRDefault="00DD299F" w:rsidP="007F0F21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B388B">
        <w:rPr>
          <w:rFonts w:eastAsia="Calibri"/>
          <w:sz w:val="28"/>
          <w:szCs w:val="28"/>
          <w:lang w:eastAsia="en-US"/>
        </w:rPr>
        <w:tab/>
      </w:r>
      <w:r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</w:r>
      <w:r w:rsidR="002F0899" w:rsidRPr="001B388B">
        <w:rPr>
          <w:rFonts w:eastAsia="Calibri"/>
          <w:sz w:val="28"/>
          <w:szCs w:val="28"/>
          <w:lang w:eastAsia="en-US"/>
        </w:rPr>
        <w:tab/>
        <w:t>»;</w:t>
      </w:r>
    </w:p>
    <w:p w:rsidR="002B798F" w:rsidRPr="002B798F" w:rsidRDefault="002B798F" w:rsidP="002B798F">
      <w:pPr>
        <w:tabs>
          <w:tab w:val="left" w:pos="567"/>
        </w:tabs>
        <w:autoSpaceDE w:val="0"/>
        <w:autoSpaceDN w:val="0"/>
        <w:adjustRightInd w:val="0"/>
        <w:snapToGrid/>
        <w:spacing w:before="0" w:after="0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ab/>
        <w:t>1.8. и</w:t>
      </w:r>
      <w:r w:rsidRPr="002B798F">
        <w:rPr>
          <w:rFonts w:eastAsia="Calibri"/>
          <w:sz w:val="28"/>
          <w:szCs w:val="28"/>
          <w:lang w:eastAsia="en-US"/>
        </w:rPr>
        <w:t>сключить сноску после таблицы следующего содержания:</w:t>
      </w:r>
    </w:p>
    <w:p w:rsidR="002B798F" w:rsidRPr="002B798F" w:rsidRDefault="002B798F" w:rsidP="00A04CAA">
      <w:pPr>
        <w:widowControl w:val="0"/>
        <w:autoSpaceDE w:val="0"/>
        <w:autoSpaceDN w:val="0"/>
        <w:adjustRightInd w:val="0"/>
        <w:snapToGrid/>
        <w:spacing w:before="0" w:after="0" w:line="259" w:lineRule="auto"/>
        <w:ind w:firstLine="708"/>
        <w:jc w:val="both"/>
        <w:rPr>
          <w:iCs/>
          <w:sz w:val="28"/>
          <w:szCs w:val="28"/>
        </w:rPr>
      </w:pPr>
      <w:r w:rsidRPr="002B798F">
        <w:rPr>
          <w:rFonts w:eastAsia="Calibri"/>
          <w:sz w:val="28"/>
          <w:szCs w:val="28"/>
          <w:lang w:eastAsia="en-US"/>
        </w:rPr>
        <w:t>«</w:t>
      </w:r>
      <w:r w:rsidRPr="002B798F">
        <w:rPr>
          <w:iCs/>
          <w:sz w:val="28"/>
          <w:szCs w:val="28"/>
        </w:rPr>
        <w:t>* Не назначается в случаях:</w:t>
      </w:r>
    </w:p>
    <w:p w:rsidR="002B798F" w:rsidRPr="002B798F" w:rsidRDefault="002B798F" w:rsidP="00A04CAA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iCs/>
          <w:sz w:val="28"/>
          <w:szCs w:val="28"/>
        </w:rPr>
      </w:pPr>
      <w:r w:rsidRPr="002B798F">
        <w:rPr>
          <w:iCs/>
          <w:sz w:val="28"/>
          <w:szCs w:val="28"/>
        </w:rPr>
        <w:t>- наличия конфликтных ситуаций в коллективе (обоснованных обращений работников учреждения в министерство, администрацию, другие органы);</w:t>
      </w:r>
    </w:p>
    <w:p w:rsidR="002B798F" w:rsidRPr="002B798F" w:rsidRDefault="002B798F" w:rsidP="002B798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iCs/>
          <w:sz w:val="28"/>
          <w:szCs w:val="28"/>
        </w:rPr>
      </w:pPr>
      <w:r w:rsidRPr="002B798F">
        <w:rPr>
          <w:iCs/>
          <w:sz w:val="28"/>
          <w:szCs w:val="28"/>
        </w:rPr>
        <w:t>- нарушения сроков (низкого качества) выполнения приказов, поручений, заданий министра труда и социального развития Новосибирской области, Главы города Оби Новосибирской области или уполномоченных должностных лиц министерства, администрации;</w:t>
      </w:r>
    </w:p>
    <w:p w:rsidR="002B798F" w:rsidRPr="002B798F" w:rsidRDefault="002B798F" w:rsidP="002B798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iCs/>
          <w:sz w:val="28"/>
          <w:szCs w:val="28"/>
        </w:rPr>
      </w:pPr>
      <w:r w:rsidRPr="002B798F">
        <w:rPr>
          <w:iCs/>
          <w:sz w:val="28"/>
          <w:szCs w:val="28"/>
        </w:rPr>
        <w:t>-</w:t>
      </w:r>
      <w:proofErr w:type="spellStart"/>
      <w:r w:rsidRPr="002B798F">
        <w:rPr>
          <w:iCs/>
          <w:sz w:val="28"/>
          <w:szCs w:val="28"/>
        </w:rPr>
        <w:t>непредоставления</w:t>
      </w:r>
      <w:proofErr w:type="spellEnd"/>
      <w:r w:rsidRPr="002B798F">
        <w:rPr>
          <w:iCs/>
          <w:sz w:val="28"/>
          <w:szCs w:val="28"/>
        </w:rPr>
        <w:t>, предоставления неполной, некачественной отчетности и информации в министерство, администрацию;</w:t>
      </w:r>
    </w:p>
    <w:p w:rsidR="002B798F" w:rsidRPr="002B798F" w:rsidRDefault="002B798F" w:rsidP="002B798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iCs/>
          <w:sz w:val="28"/>
          <w:szCs w:val="28"/>
        </w:rPr>
      </w:pPr>
      <w:r w:rsidRPr="002B798F">
        <w:rPr>
          <w:iCs/>
          <w:sz w:val="28"/>
          <w:szCs w:val="28"/>
        </w:rPr>
        <w:t>- нарушений и недостатков, выявленных в ходе проверок и ревизий;</w:t>
      </w:r>
    </w:p>
    <w:p w:rsidR="002B798F" w:rsidRPr="002B798F" w:rsidRDefault="002B798F" w:rsidP="002B798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iCs/>
          <w:sz w:val="28"/>
          <w:szCs w:val="28"/>
        </w:rPr>
      </w:pPr>
      <w:r w:rsidRPr="002B798F">
        <w:rPr>
          <w:iCs/>
          <w:sz w:val="28"/>
          <w:szCs w:val="28"/>
        </w:rPr>
        <w:t>- применения к руководителю учреждения дисциплинарного взыскания;</w:t>
      </w:r>
    </w:p>
    <w:p w:rsidR="002B798F" w:rsidRPr="002B798F" w:rsidRDefault="002B798F" w:rsidP="002B798F">
      <w:pPr>
        <w:widowControl w:val="0"/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2B798F">
        <w:rPr>
          <w:iCs/>
          <w:sz w:val="28"/>
          <w:szCs w:val="28"/>
        </w:rPr>
        <w:t>- </w:t>
      </w:r>
      <w:proofErr w:type="spellStart"/>
      <w:r w:rsidRPr="002B798F">
        <w:rPr>
          <w:rFonts w:eastAsia="Calibri"/>
          <w:sz w:val="28"/>
          <w:szCs w:val="28"/>
          <w:lang w:eastAsia="en-US"/>
        </w:rPr>
        <w:t>несохранения</w:t>
      </w:r>
      <w:proofErr w:type="spellEnd"/>
      <w:r w:rsidRPr="002B798F">
        <w:rPr>
          <w:rFonts w:eastAsia="Calibri"/>
          <w:sz w:val="28"/>
          <w:szCs w:val="28"/>
          <w:lang w:eastAsia="en-US"/>
        </w:rPr>
        <w:t xml:space="preserve"> достигнутого соотношения между уровнем оплаты труда отдельных категорий работников учреждения и уровнем средней заработной платы в Новосибирской области (в случае если работники учреждения относятся к категориям работников, определенным Указами Президента Российской Федерации от 07.05.2012 № 597 «О мероприятиях по реализации государственной социальной политики», от 28.12.2012 № 1688 «О некоторых мерах по реализации государственной политики в сфере защиты детей-сирот и детей, оставшихся без попечения родителей»).».</w:t>
      </w:r>
    </w:p>
    <w:p w:rsidR="004D08B1" w:rsidRDefault="00FC2344" w:rsidP="00FC2344">
      <w:pPr>
        <w:autoSpaceDE w:val="0"/>
        <w:autoSpaceDN w:val="0"/>
        <w:adjustRightInd w:val="0"/>
        <w:snapToGrid/>
        <w:spacing w:before="0" w:after="0"/>
        <w:ind w:firstLine="708"/>
        <w:jc w:val="both"/>
        <w:rPr>
          <w:rFonts w:eastAsia="Calibri"/>
          <w:sz w:val="28"/>
          <w:szCs w:val="28"/>
        </w:rPr>
      </w:pPr>
      <w:r w:rsidRPr="001B388B">
        <w:rPr>
          <w:rFonts w:eastAsia="Calibri"/>
          <w:sz w:val="28"/>
          <w:szCs w:val="28"/>
        </w:rPr>
        <w:lastRenderedPageBreak/>
        <w:t>1.</w:t>
      </w:r>
      <w:r w:rsidR="002B798F">
        <w:rPr>
          <w:rFonts w:eastAsia="Calibri"/>
          <w:sz w:val="28"/>
          <w:szCs w:val="28"/>
        </w:rPr>
        <w:t>9</w:t>
      </w:r>
      <w:r w:rsidRPr="001B388B">
        <w:rPr>
          <w:rFonts w:eastAsia="Calibri"/>
          <w:sz w:val="28"/>
          <w:szCs w:val="28"/>
        </w:rPr>
        <w:t>.</w:t>
      </w:r>
      <w:r w:rsidR="004B5BED">
        <w:rPr>
          <w:rFonts w:eastAsia="Calibri"/>
          <w:sz w:val="28"/>
          <w:szCs w:val="28"/>
        </w:rPr>
        <w:t xml:space="preserve"> </w:t>
      </w:r>
      <w:r w:rsidR="00DE346E">
        <w:rPr>
          <w:rFonts w:eastAsia="Calibri"/>
          <w:sz w:val="28"/>
          <w:szCs w:val="28"/>
        </w:rPr>
        <w:t>во второ</w:t>
      </w:r>
      <w:r w:rsidR="00843B06">
        <w:rPr>
          <w:rFonts w:eastAsia="Calibri"/>
          <w:sz w:val="28"/>
          <w:szCs w:val="28"/>
        </w:rPr>
        <w:t>м</w:t>
      </w:r>
      <w:r w:rsidR="00DE346E">
        <w:rPr>
          <w:rFonts w:eastAsia="Calibri"/>
          <w:sz w:val="28"/>
          <w:szCs w:val="28"/>
        </w:rPr>
        <w:t xml:space="preserve"> </w:t>
      </w:r>
      <w:proofErr w:type="gramStart"/>
      <w:r w:rsidR="00DE346E">
        <w:rPr>
          <w:rFonts w:eastAsia="Calibri"/>
          <w:sz w:val="28"/>
          <w:szCs w:val="28"/>
        </w:rPr>
        <w:t>предложени</w:t>
      </w:r>
      <w:r w:rsidR="00843B06">
        <w:rPr>
          <w:rFonts w:eastAsia="Calibri"/>
          <w:sz w:val="28"/>
          <w:szCs w:val="28"/>
        </w:rPr>
        <w:t>и</w:t>
      </w:r>
      <w:r w:rsidR="00DE346E">
        <w:rPr>
          <w:rFonts w:eastAsia="Calibri"/>
          <w:sz w:val="28"/>
          <w:szCs w:val="28"/>
        </w:rPr>
        <w:t xml:space="preserve"> </w:t>
      </w:r>
      <w:r w:rsidR="007F0F21" w:rsidRPr="001B388B">
        <w:rPr>
          <w:rFonts w:eastAsia="Calibri"/>
          <w:sz w:val="28"/>
          <w:szCs w:val="28"/>
        </w:rPr>
        <w:t xml:space="preserve"> п</w:t>
      </w:r>
      <w:r w:rsidR="004D08B1" w:rsidRPr="001B388B">
        <w:rPr>
          <w:rFonts w:eastAsia="Calibri"/>
          <w:sz w:val="28"/>
          <w:szCs w:val="28"/>
        </w:rPr>
        <w:t>ункт</w:t>
      </w:r>
      <w:r w:rsidR="00DE346E">
        <w:rPr>
          <w:rFonts w:eastAsia="Calibri"/>
          <w:sz w:val="28"/>
          <w:szCs w:val="28"/>
        </w:rPr>
        <w:t>а</w:t>
      </w:r>
      <w:proofErr w:type="gramEnd"/>
      <w:r w:rsidR="00C55FEF" w:rsidRPr="001B388B">
        <w:rPr>
          <w:rFonts w:eastAsia="Calibri"/>
          <w:sz w:val="28"/>
          <w:szCs w:val="28"/>
        </w:rPr>
        <w:t xml:space="preserve"> 5.14</w:t>
      </w:r>
      <w:r w:rsidR="00DE346E">
        <w:rPr>
          <w:rFonts w:eastAsia="Calibri"/>
          <w:sz w:val="28"/>
          <w:szCs w:val="28"/>
        </w:rPr>
        <w:t xml:space="preserve"> </w:t>
      </w:r>
      <w:r w:rsidR="00C86A78" w:rsidRPr="001B388B">
        <w:rPr>
          <w:rFonts w:eastAsia="Calibri"/>
          <w:sz w:val="28"/>
          <w:szCs w:val="28"/>
        </w:rPr>
        <w:t>после слов «в</w:t>
      </w:r>
      <w:r w:rsidRPr="001B388B">
        <w:rPr>
          <w:rFonts w:eastAsia="Calibri"/>
          <w:sz w:val="28"/>
          <w:szCs w:val="28"/>
        </w:rPr>
        <w:t xml:space="preserve"> пределах экономии фонда оплаты </w:t>
      </w:r>
      <w:r w:rsidR="00C86A78" w:rsidRPr="001B388B">
        <w:rPr>
          <w:rFonts w:eastAsia="Calibri"/>
          <w:sz w:val="28"/>
          <w:szCs w:val="28"/>
        </w:rPr>
        <w:t>труда учреждения» дополнить словами «</w:t>
      </w:r>
      <w:r w:rsidR="004D08B1" w:rsidRPr="001B388B">
        <w:rPr>
          <w:rFonts w:eastAsia="Calibri"/>
          <w:sz w:val="28"/>
          <w:szCs w:val="28"/>
        </w:rPr>
        <w:t xml:space="preserve">на основании предложений комиссии </w:t>
      </w:r>
      <w:r w:rsidR="004D08B1" w:rsidRPr="00FC2344">
        <w:rPr>
          <w:rFonts w:eastAsia="Calibri"/>
          <w:sz w:val="28"/>
          <w:szCs w:val="28"/>
        </w:rPr>
        <w:t xml:space="preserve">по установлению стимулирующих выплат руководителям учреждений, созданной в </w:t>
      </w:r>
      <w:r w:rsidR="007F0F21" w:rsidRPr="00FC2344">
        <w:rPr>
          <w:rFonts w:eastAsia="Calibri"/>
          <w:sz w:val="28"/>
          <w:szCs w:val="28"/>
        </w:rPr>
        <w:t>администрации</w:t>
      </w:r>
      <w:r w:rsidR="004D08B1" w:rsidRPr="00FC2344">
        <w:rPr>
          <w:rFonts w:eastAsia="Calibri"/>
          <w:sz w:val="28"/>
          <w:szCs w:val="28"/>
        </w:rPr>
        <w:t>.</w:t>
      </w:r>
      <w:r>
        <w:rPr>
          <w:rFonts w:eastAsia="Calibri"/>
          <w:sz w:val="28"/>
          <w:szCs w:val="28"/>
        </w:rPr>
        <w:t>»;</w:t>
      </w:r>
    </w:p>
    <w:p w:rsidR="00FC2344" w:rsidRPr="00FC2344" w:rsidRDefault="00FC2344" w:rsidP="00784D84">
      <w:pPr>
        <w:shd w:val="clear" w:color="auto" w:fill="FFFFFF"/>
        <w:spacing w:before="0" w:after="0"/>
        <w:ind w:firstLine="709"/>
        <w:rPr>
          <w:rFonts w:eastAsia="Calibri"/>
          <w:sz w:val="28"/>
          <w:szCs w:val="22"/>
          <w:lang w:eastAsia="en-US"/>
        </w:rPr>
      </w:pPr>
      <w:r>
        <w:rPr>
          <w:rFonts w:eastAsia="Calibri"/>
          <w:sz w:val="28"/>
          <w:szCs w:val="28"/>
        </w:rPr>
        <w:t>1.</w:t>
      </w:r>
      <w:r w:rsidR="002B798F">
        <w:rPr>
          <w:rFonts w:eastAsia="Calibri"/>
          <w:sz w:val="28"/>
          <w:szCs w:val="28"/>
        </w:rPr>
        <w:t>10</w:t>
      </w:r>
      <w:r>
        <w:rPr>
          <w:rFonts w:eastAsia="Calibri"/>
          <w:sz w:val="28"/>
          <w:szCs w:val="28"/>
        </w:rPr>
        <w:t xml:space="preserve">. </w:t>
      </w:r>
      <w:r>
        <w:rPr>
          <w:rFonts w:eastAsia="Calibri"/>
          <w:color w:val="000000"/>
          <w:sz w:val="28"/>
          <w:szCs w:val="28"/>
          <w:lang w:eastAsia="en-US"/>
        </w:rPr>
        <w:t>п</w:t>
      </w:r>
      <w:r w:rsidRPr="00FC2344">
        <w:rPr>
          <w:rFonts w:eastAsia="Calibri"/>
          <w:color w:val="000000"/>
          <w:sz w:val="28"/>
          <w:szCs w:val="28"/>
          <w:lang w:eastAsia="en-US"/>
        </w:rPr>
        <w:t xml:space="preserve">ункт </w:t>
      </w:r>
      <w:r>
        <w:rPr>
          <w:rFonts w:eastAsia="Calibri"/>
          <w:color w:val="000000"/>
          <w:sz w:val="28"/>
          <w:szCs w:val="28"/>
          <w:lang w:eastAsia="en-US"/>
        </w:rPr>
        <w:t>5.15</w:t>
      </w:r>
      <w:r w:rsidR="00853890">
        <w:rPr>
          <w:rFonts w:eastAsia="Calibri"/>
          <w:color w:val="000000"/>
          <w:sz w:val="28"/>
          <w:szCs w:val="28"/>
          <w:lang w:eastAsia="en-US"/>
        </w:rPr>
        <w:t>.</w:t>
      </w:r>
      <w:r w:rsidRPr="00FC2344">
        <w:rPr>
          <w:rFonts w:eastAsia="Calibri"/>
          <w:sz w:val="28"/>
          <w:szCs w:val="22"/>
          <w:lang w:eastAsia="en-US"/>
        </w:rPr>
        <w:t xml:space="preserve"> дополнить абзацем следующего содержания:</w:t>
      </w:r>
    </w:p>
    <w:p w:rsidR="00DD299F" w:rsidRDefault="00FC2344" w:rsidP="00FB11EF">
      <w:pPr>
        <w:shd w:val="clear" w:color="auto" w:fill="FFFFFF"/>
        <w:snapToGrid/>
        <w:spacing w:before="0" w:after="0"/>
        <w:jc w:val="both"/>
        <w:rPr>
          <w:rFonts w:eastAsia="Calibri"/>
          <w:sz w:val="28"/>
          <w:szCs w:val="22"/>
          <w:lang w:eastAsia="en-US"/>
        </w:rPr>
      </w:pPr>
      <w:r w:rsidRPr="00FC2344">
        <w:rPr>
          <w:rFonts w:eastAsia="Calibri"/>
          <w:sz w:val="28"/>
          <w:szCs w:val="22"/>
          <w:lang w:eastAsia="en-US"/>
        </w:rPr>
        <w:t>«применения к руководителю учреждения в течение календарного периода, по итогам которого осуществляется оценка результатов, дисциплинарного взыскания при наличии неснят</w:t>
      </w:r>
      <w:r w:rsidR="00784D84">
        <w:rPr>
          <w:rFonts w:eastAsia="Calibri"/>
          <w:sz w:val="28"/>
          <w:szCs w:val="22"/>
          <w:lang w:eastAsia="en-US"/>
        </w:rPr>
        <w:t>ого дисциплинарного взыскания.».</w:t>
      </w:r>
    </w:p>
    <w:p w:rsidR="00F676A9" w:rsidRDefault="00F676A9" w:rsidP="00F676A9">
      <w:pPr>
        <w:pStyle w:val="a4"/>
        <w:ind w:firstLine="708"/>
        <w:jc w:val="both"/>
        <w:rPr>
          <w:szCs w:val="28"/>
        </w:rPr>
      </w:pPr>
      <w:r>
        <w:rPr>
          <w:szCs w:val="28"/>
        </w:rPr>
        <w:t xml:space="preserve">2. </w:t>
      </w:r>
      <w:r w:rsidRPr="006E1183">
        <w:rPr>
          <w:szCs w:val="28"/>
        </w:rPr>
        <w:t>Управлению по вопросам общественности опубликовать настоящее постановление в установленном порядке в газете «</w:t>
      </w:r>
      <w:proofErr w:type="spellStart"/>
      <w:r w:rsidRPr="006E1183">
        <w:rPr>
          <w:szCs w:val="28"/>
        </w:rPr>
        <w:t>Аэро</w:t>
      </w:r>
      <w:proofErr w:type="spellEnd"/>
      <w:r w:rsidRPr="006E1183">
        <w:rPr>
          <w:szCs w:val="28"/>
        </w:rPr>
        <w:t xml:space="preserve">-сити» и разместить на официальном сайте администрации города Оби Новосибирской области в сети Интернет.         </w:t>
      </w:r>
    </w:p>
    <w:p w:rsidR="00F676A9" w:rsidRPr="0031334B" w:rsidRDefault="00F676A9" w:rsidP="00FB11EF">
      <w:pPr>
        <w:shd w:val="clear" w:color="auto" w:fill="FFFFFF"/>
        <w:snapToGrid/>
        <w:spacing w:before="0" w:after="0"/>
        <w:jc w:val="both"/>
        <w:rPr>
          <w:color w:val="FF0000"/>
          <w:sz w:val="28"/>
          <w:szCs w:val="28"/>
        </w:rPr>
      </w:pPr>
    </w:p>
    <w:p w:rsidR="00D312C6" w:rsidRDefault="00784D84" w:rsidP="00201D46">
      <w:pPr>
        <w:pStyle w:val="a4"/>
        <w:ind w:right="-2" w:firstLine="708"/>
        <w:jc w:val="both"/>
        <w:rPr>
          <w:szCs w:val="28"/>
        </w:rPr>
      </w:pPr>
      <w:r>
        <w:rPr>
          <w:szCs w:val="28"/>
        </w:rPr>
        <w:t>3</w:t>
      </w:r>
      <w:r w:rsidR="00D312C6">
        <w:rPr>
          <w:szCs w:val="28"/>
        </w:rPr>
        <w:t>. Контроль за исполнением постановления возложить на заместителя главы администрации</w:t>
      </w:r>
      <w:r w:rsidR="00E04F2B">
        <w:rPr>
          <w:szCs w:val="28"/>
        </w:rPr>
        <w:t>, начальника управления</w:t>
      </w:r>
      <w:r w:rsidR="00F372A4">
        <w:rPr>
          <w:szCs w:val="28"/>
        </w:rPr>
        <w:t xml:space="preserve"> образования</w:t>
      </w:r>
      <w:r w:rsidR="00142D36">
        <w:rPr>
          <w:szCs w:val="28"/>
        </w:rPr>
        <w:t>.</w:t>
      </w:r>
    </w:p>
    <w:p w:rsidR="00D312C6" w:rsidRDefault="00D312C6" w:rsidP="00D312C6">
      <w:pPr>
        <w:pStyle w:val="a4"/>
        <w:ind w:firstLine="360"/>
        <w:jc w:val="both"/>
      </w:pPr>
    </w:p>
    <w:p w:rsidR="00F676A9" w:rsidRDefault="00F676A9" w:rsidP="00D312C6">
      <w:pPr>
        <w:pStyle w:val="a4"/>
        <w:ind w:firstLine="360"/>
        <w:jc w:val="both"/>
      </w:pPr>
    </w:p>
    <w:p w:rsidR="00F676A9" w:rsidRDefault="00F676A9" w:rsidP="00D312C6">
      <w:pPr>
        <w:pStyle w:val="a4"/>
        <w:ind w:firstLine="360"/>
        <w:jc w:val="both"/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26"/>
        <w:gridCol w:w="2127"/>
        <w:gridCol w:w="3270"/>
      </w:tblGrid>
      <w:tr w:rsidR="00D312C6" w:rsidTr="00542B6E">
        <w:tc>
          <w:tcPr>
            <w:tcW w:w="4526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312C6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Глава города Оби</w:t>
            </w:r>
          </w:p>
          <w:p w:rsidR="00D312C6" w:rsidRDefault="00D312C6">
            <w:pPr>
              <w:pStyle w:val="a9"/>
              <w:spacing w:line="256" w:lineRule="auto"/>
              <w:ind w:left="-108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Новосибирской области</w:t>
            </w:r>
          </w:p>
        </w:tc>
        <w:tc>
          <w:tcPr>
            <w:tcW w:w="212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312C6" w:rsidRDefault="00D312C6">
            <w:pPr>
              <w:pStyle w:val="a9"/>
              <w:spacing w:line="256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327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D312C6" w:rsidRDefault="00EA632C" w:rsidP="00542B6E">
            <w:pPr>
              <w:pStyle w:val="a9"/>
              <w:tabs>
                <w:tab w:val="left" w:pos="3054"/>
                <w:tab w:val="left" w:pos="3162"/>
              </w:tabs>
              <w:spacing w:line="256" w:lineRule="auto"/>
              <w:ind w:right="-671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П.В. Буковин</w:t>
            </w:r>
            <w:r w:rsidR="00D312C6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ин</w:t>
            </w:r>
          </w:p>
        </w:tc>
      </w:tr>
    </w:tbl>
    <w:p w:rsidR="00D312C6" w:rsidRDefault="00D312C6" w:rsidP="00D312C6">
      <w:pPr>
        <w:autoSpaceDE w:val="0"/>
        <w:autoSpaceDN w:val="0"/>
        <w:adjustRightInd w:val="0"/>
        <w:spacing w:before="0" w:after="0"/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CE6C3F" w:rsidRPr="00D312C6" w:rsidRDefault="00CE6C3F" w:rsidP="00D312C6"/>
    <w:sectPr w:rsidR="00CE6C3F" w:rsidRPr="00D312C6" w:rsidSect="0056291D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2AF"/>
    <w:multiLevelType w:val="hybridMultilevel"/>
    <w:tmpl w:val="6D863108"/>
    <w:lvl w:ilvl="0" w:tplc="13B8CDAA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09A524C4"/>
    <w:multiLevelType w:val="hybridMultilevel"/>
    <w:tmpl w:val="43322D98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16E75202"/>
    <w:multiLevelType w:val="hybridMultilevel"/>
    <w:tmpl w:val="BF56DB80"/>
    <w:lvl w:ilvl="0" w:tplc="76EE282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F449C4"/>
    <w:multiLevelType w:val="multilevel"/>
    <w:tmpl w:val="5D9EF6F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23F17DD8"/>
    <w:multiLevelType w:val="multilevel"/>
    <w:tmpl w:val="3648C1A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3661640D"/>
    <w:multiLevelType w:val="hybridMultilevel"/>
    <w:tmpl w:val="093803D8"/>
    <w:lvl w:ilvl="0" w:tplc="A2226166">
      <w:start w:val="1"/>
      <w:numFmt w:val="decimal"/>
      <w:lvlText w:val="%1."/>
      <w:lvlJc w:val="left"/>
      <w:pPr>
        <w:ind w:left="106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41B753D9"/>
    <w:multiLevelType w:val="multilevel"/>
    <w:tmpl w:val="67825E12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451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822" w:hanging="108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833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2204" w:hanging="144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2575" w:hanging="180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2586" w:hanging="180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957" w:hanging="2160"/>
      </w:pPr>
      <w:rPr>
        <w:rFonts w:eastAsia="Calibri" w:hint="default"/>
        <w:color w:val="auto"/>
      </w:rPr>
    </w:lvl>
  </w:abstractNum>
  <w:abstractNum w:abstractNumId="7">
    <w:nsid w:val="4CE817AE"/>
    <w:multiLevelType w:val="hybridMultilevel"/>
    <w:tmpl w:val="F5FA2842"/>
    <w:lvl w:ilvl="0" w:tplc="123E494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8">
    <w:nsid w:val="5697222A"/>
    <w:multiLevelType w:val="hybridMultilevel"/>
    <w:tmpl w:val="BA3886CC"/>
    <w:lvl w:ilvl="0" w:tplc="EF5AEA0E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2A3209"/>
    <w:multiLevelType w:val="hybridMultilevel"/>
    <w:tmpl w:val="73EA42E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70B23440"/>
    <w:multiLevelType w:val="hybridMultilevel"/>
    <w:tmpl w:val="9B688E66"/>
    <w:lvl w:ilvl="0" w:tplc="8A6817A0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1">
    <w:nsid w:val="7A710240"/>
    <w:multiLevelType w:val="multilevel"/>
    <w:tmpl w:val="0FD0F55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2">
    <w:nsid w:val="7D0C176B"/>
    <w:multiLevelType w:val="hybridMultilevel"/>
    <w:tmpl w:val="3B1C213A"/>
    <w:lvl w:ilvl="0" w:tplc="EAA0A6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92564"/>
    <w:multiLevelType w:val="hybridMultilevel"/>
    <w:tmpl w:val="24C4F938"/>
    <w:lvl w:ilvl="0" w:tplc="ACBC166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5"/>
  </w:num>
  <w:num w:numId="3">
    <w:abstractNumId w:val="1"/>
  </w:num>
  <w:num w:numId="4">
    <w:abstractNumId w:val="12"/>
  </w:num>
  <w:num w:numId="5">
    <w:abstractNumId w:val="8"/>
  </w:num>
  <w:num w:numId="6">
    <w:abstractNumId w:val="2"/>
  </w:num>
  <w:num w:numId="7">
    <w:abstractNumId w:val="6"/>
  </w:num>
  <w:num w:numId="8">
    <w:abstractNumId w:val="9"/>
  </w:num>
  <w:num w:numId="9">
    <w:abstractNumId w:val="7"/>
  </w:num>
  <w:num w:numId="10">
    <w:abstractNumId w:val="10"/>
  </w:num>
  <w:num w:numId="11">
    <w:abstractNumId w:val="0"/>
  </w:num>
  <w:num w:numId="12">
    <w:abstractNumId w:val="3"/>
  </w:num>
  <w:num w:numId="13">
    <w:abstractNumId w:val="11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3E0A"/>
    <w:rsid w:val="000106D1"/>
    <w:rsid w:val="000138FC"/>
    <w:rsid w:val="00045FA2"/>
    <w:rsid w:val="00071EC1"/>
    <w:rsid w:val="000851CF"/>
    <w:rsid w:val="00086FD7"/>
    <w:rsid w:val="000D16CF"/>
    <w:rsid w:val="000F0135"/>
    <w:rsid w:val="0010536D"/>
    <w:rsid w:val="0012009F"/>
    <w:rsid w:val="00125859"/>
    <w:rsid w:val="00142D36"/>
    <w:rsid w:val="001476FA"/>
    <w:rsid w:val="001523EA"/>
    <w:rsid w:val="001836FA"/>
    <w:rsid w:val="0019394A"/>
    <w:rsid w:val="001B1563"/>
    <w:rsid w:val="001B388B"/>
    <w:rsid w:val="001C1FA0"/>
    <w:rsid w:val="00201D46"/>
    <w:rsid w:val="00215442"/>
    <w:rsid w:val="0021574D"/>
    <w:rsid w:val="002B798F"/>
    <w:rsid w:val="002C36DC"/>
    <w:rsid w:val="002D3E2B"/>
    <w:rsid w:val="002F0899"/>
    <w:rsid w:val="0031334B"/>
    <w:rsid w:val="0037423F"/>
    <w:rsid w:val="003769C6"/>
    <w:rsid w:val="003C0C7C"/>
    <w:rsid w:val="003E0155"/>
    <w:rsid w:val="0045566C"/>
    <w:rsid w:val="00491EFF"/>
    <w:rsid w:val="004922E8"/>
    <w:rsid w:val="004B57F5"/>
    <w:rsid w:val="004B5BED"/>
    <w:rsid w:val="004C4CEB"/>
    <w:rsid w:val="004D08B1"/>
    <w:rsid w:val="004E5944"/>
    <w:rsid w:val="00524BC8"/>
    <w:rsid w:val="00540FA1"/>
    <w:rsid w:val="00542B6E"/>
    <w:rsid w:val="00550F09"/>
    <w:rsid w:val="00553E0A"/>
    <w:rsid w:val="00561984"/>
    <w:rsid w:val="0056291D"/>
    <w:rsid w:val="00564798"/>
    <w:rsid w:val="0057793E"/>
    <w:rsid w:val="005B01E1"/>
    <w:rsid w:val="005D6984"/>
    <w:rsid w:val="00600FE9"/>
    <w:rsid w:val="00610FD0"/>
    <w:rsid w:val="006744FA"/>
    <w:rsid w:val="006850C7"/>
    <w:rsid w:val="006E329C"/>
    <w:rsid w:val="006F7BB9"/>
    <w:rsid w:val="0073254A"/>
    <w:rsid w:val="0074219A"/>
    <w:rsid w:val="00757EE5"/>
    <w:rsid w:val="00763388"/>
    <w:rsid w:val="00784D84"/>
    <w:rsid w:val="007C3CAB"/>
    <w:rsid w:val="007F0F21"/>
    <w:rsid w:val="007F3BA4"/>
    <w:rsid w:val="00812CC5"/>
    <w:rsid w:val="00823899"/>
    <w:rsid w:val="00833400"/>
    <w:rsid w:val="00843B06"/>
    <w:rsid w:val="00853890"/>
    <w:rsid w:val="008C5DF0"/>
    <w:rsid w:val="008F221A"/>
    <w:rsid w:val="008F7574"/>
    <w:rsid w:val="00907FF9"/>
    <w:rsid w:val="00920297"/>
    <w:rsid w:val="0093555B"/>
    <w:rsid w:val="0093590B"/>
    <w:rsid w:val="00935D4C"/>
    <w:rsid w:val="00950D34"/>
    <w:rsid w:val="00953324"/>
    <w:rsid w:val="00973209"/>
    <w:rsid w:val="009A4E06"/>
    <w:rsid w:val="009B2937"/>
    <w:rsid w:val="009C1971"/>
    <w:rsid w:val="009E411B"/>
    <w:rsid w:val="009F444C"/>
    <w:rsid w:val="00A04CAA"/>
    <w:rsid w:val="00AC5317"/>
    <w:rsid w:val="00AD5B2E"/>
    <w:rsid w:val="00B231F3"/>
    <w:rsid w:val="00B64529"/>
    <w:rsid w:val="00B810DA"/>
    <w:rsid w:val="00B84E8C"/>
    <w:rsid w:val="00B903C4"/>
    <w:rsid w:val="00BA1867"/>
    <w:rsid w:val="00BC6617"/>
    <w:rsid w:val="00BD602D"/>
    <w:rsid w:val="00C31C3C"/>
    <w:rsid w:val="00C45430"/>
    <w:rsid w:val="00C55FEF"/>
    <w:rsid w:val="00C86A78"/>
    <w:rsid w:val="00CA3FDC"/>
    <w:rsid w:val="00CB290E"/>
    <w:rsid w:val="00CD4A61"/>
    <w:rsid w:val="00CE6C3F"/>
    <w:rsid w:val="00CF32E5"/>
    <w:rsid w:val="00D312C6"/>
    <w:rsid w:val="00D436C1"/>
    <w:rsid w:val="00D81D9C"/>
    <w:rsid w:val="00D8271D"/>
    <w:rsid w:val="00DD299F"/>
    <w:rsid w:val="00DE2C70"/>
    <w:rsid w:val="00DE346E"/>
    <w:rsid w:val="00DE666B"/>
    <w:rsid w:val="00DF25F4"/>
    <w:rsid w:val="00E04F2B"/>
    <w:rsid w:val="00E0637B"/>
    <w:rsid w:val="00E155ED"/>
    <w:rsid w:val="00E344C1"/>
    <w:rsid w:val="00E36C3D"/>
    <w:rsid w:val="00E374C2"/>
    <w:rsid w:val="00E53515"/>
    <w:rsid w:val="00E86A42"/>
    <w:rsid w:val="00EA632C"/>
    <w:rsid w:val="00EB5428"/>
    <w:rsid w:val="00F0371A"/>
    <w:rsid w:val="00F103F7"/>
    <w:rsid w:val="00F15BF0"/>
    <w:rsid w:val="00F372A4"/>
    <w:rsid w:val="00F45662"/>
    <w:rsid w:val="00F676A9"/>
    <w:rsid w:val="00F7662C"/>
    <w:rsid w:val="00F908E7"/>
    <w:rsid w:val="00FA083F"/>
    <w:rsid w:val="00FA2D34"/>
    <w:rsid w:val="00FB11EF"/>
    <w:rsid w:val="00FC2344"/>
    <w:rsid w:val="00FC235C"/>
    <w:rsid w:val="00FD3C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4A99676-833D-4EF6-8563-F61D7A8CB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1EC1"/>
    <w:pPr>
      <w:snapToGrid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1544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E6C3F"/>
    <w:pPr>
      <w:ind w:left="720"/>
      <w:contextualSpacing/>
    </w:pPr>
  </w:style>
  <w:style w:type="paragraph" w:customStyle="1" w:styleId="ConsPlusNormal">
    <w:name w:val="ConsPlusNormal"/>
    <w:link w:val="ConsPlusNormal0"/>
    <w:qFormat/>
    <w:rsid w:val="00CE6C3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E6C3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CE6C3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15442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ru-RU"/>
    </w:rPr>
  </w:style>
  <w:style w:type="paragraph" w:styleId="a4">
    <w:name w:val="Body Text"/>
    <w:basedOn w:val="a"/>
    <w:link w:val="a5"/>
    <w:rsid w:val="00215442"/>
    <w:pPr>
      <w:snapToGrid/>
      <w:spacing w:before="0" w:after="0"/>
    </w:pPr>
    <w:rPr>
      <w:sz w:val="28"/>
      <w:szCs w:val="24"/>
    </w:rPr>
  </w:style>
  <w:style w:type="character" w:customStyle="1" w:styleId="a5">
    <w:name w:val="Основной текст Знак"/>
    <w:basedOn w:val="a0"/>
    <w:link w:val="a4"/>
    <w:rsid w:val="00215442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215442"/>
    <w:rPr>
      <w:rFonts w:cs="Times New Roman"/>
      <w:b w:val="0"/>
      <w:color w:val="106BBE"/>
    </w:rPr>
  </w:style>
  <w:style w:type="paragraph" w:styleId="a7">
    <w:name w:val="Balloon Text"/>
    <w:basedOn w:val="a"/>
    <w:link w:val="a8"/>
    <w:uiPriority w:val="99"/>
    <w:semiHidden/>
    <w:unhideWhenUsed/>
    <w:rsid w:val="0056479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64798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a9">
    <w:name w:val="Нормальный (таблица)"/>
    <w:basedOn w:val="a"/>
    <w:next w:val="a"/>
    <w:rsid w:val="00D312C6"/>
    <w:pPr>
      <w:widowControl w:val="0"/>
      <w:autoSpaceDE w:val="0"/>
      <w:autoSpaceDN w:val="0"/>
      <w:adjustRightInd w:val="0"/>
      <w:snapToGrid/>
      <w:spacing w:before="0" w:after="0"/>
      <w:jc w:val="both"/>
    </w:pPr>
    <w:rPr>
      <w:rFonts w:ascii="Arial" w:hAnsi="Arial"/>
      <w:szCs w:val="24"/>
    </w:rPr>
  </w:style>
  <w:style w:type="paragraph" w:customStyle="1" w:styleId="ConsNormal">
    <w:name w:val="ConsNormal"/>
    <w:rsid w:val="00D312C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a">
    <w:name w:val="Hyperlink"/>
    <w:basedOn w:val="a0"/>
    <w:uiPriority w:val="99"/>
    <w:semiHidden/>
    <w:unhideWhenUsed/>
    <w:rsid w:val="00D312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1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202292-F8E2-4F07-9A43-CBECB539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478</TotalTime>
  <Pages>9</Pages>
  <Words>2166</Words>
  <Characters>12352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14490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OVSO-Sha</cp:lastModifiedBy>
  <cp:revision>24</cp:revision>
  <cp:lastPrinted>2019-09-16T03:15:00Z</cp:lastPrinted>
  <dcterms:created xsi:type="dcterms:W3CDTF">2021-11-23T09:37:00Z</dcterms:created>
  <dcterms:modified xsi:type="dcterms:W3CDTF">2021-12-23T06:09:00Z</dcterms:modified>
</cp:coreProperties>
</file>