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 </w:t>
      </w: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17.07.2014</w:t>
      </w: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                          № </w:t>
      </w: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761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 утверждении Методики исчисления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суммы восстановительной стоимости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зеленых насаждений на территории города Оби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В целях обеспечения сохранения, развития и восстановления зеленого фонда города Оби, в соответствии с Правилами благоустройства, обеспечения чистоты и порядка на территории города Оби, утвержденными решением 24 сессией Совета депутатов г. Оби Новосибирской области третьего созыва 27.30.2013г. № 230, Федеральным законом от 10.01.2002 № 7-ФЗ «Об охране окружающей среды», ФЗ от 06.10.2003 № 131-ФЗ «Об общих принципах организации местного самоуправления в Российской Федерации», руководствуясь приказом Госстроя России от 15.12.99 № 153 «Об утверждении Правил создания, охраны и содержания зеленых насаждений в пределах Российской Федерации»,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1.Утвердить методику исчисления суммы восстановительной стоимости зеленых насаждений на территории города Оби (приложение).</w:t>
      </w:r>
    </w:p>
    <w:p w:rsidR="00BA741B" w:rsidRPr="00BA741B" w:rsidRDefault="00BA741B" w:rsidP="00BA741B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2.Отделу по взаимодействию с общественностью администрации города Оби Новосибирской области обеспечить опубликование постановления в установленном порядке.</w:t>
      </w:r>
    </w:p>
    <w:p w:rsidR="00BA741B" w:rsidRPr="00BA741B" w:rsidRDefault="00BA741B" w:rsidP="00BA741B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3.Ответственность за исполнение постановления возложить на заместителя главы администрации по ЖКХ и строительству.</w:t>
      </w:r>
    </w:p>
    <w:p w:rsidR="00BA741B" w:rsidRPr="00BA741B" w:rsidRDefault="00BA741B" w:rsidP="00BA741B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4.Настоящее постановление вступает в силу после его официального опубликования.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полномочия главы города                                         И.Г. Костенко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Исполнитель                                                                            А.П. Клепиков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зам. главы администрации                                              А.В. Донец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Начальник правового управления                                         О.Н.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Балюк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pPr w:leftFromText="180" w:rightFromText="180" w:topFromText="15" w:bottomFromText="15" w:vertAnchor="text"/>
        <w:tblW w:w="442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</w:tblGrid>
      <w:tr w:rsidR="00BA741B" w:rsidRPr="00BA741B" w:rsidTr="00BA741B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Приложение</w:t>
            </w:r>
          </w:p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города Оби Новосибирской области  </w:t>
            </w:r>
          </w:p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от </w:t>
            </w: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u w:val="single"/>
                <w:lang w:eastAsia="ru-RU"/>
              </w:rPr>
              <w:t>17.07.2014 </w:t>
            </w:r>
            <w:proofErr w:type="gramStart"/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№</w:t>
            </w: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u w:val="single"/>
                <w:lang w:eastAsia="ru-RU"/>
              </w:rPr>
              <w:t>  761</w:t>
            </w:r>
            <w:proofErr w:type="gramEnd"/>
          </w:p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Методика исчисления суммы восстановительной стоимости зеленых насаждений на территории города Оби.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1. Общие положения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1.1.Методика исчисления суммы восстановительной стоимости зеленых насаждений на территории города Оби (далее - Методика) применяется для расчета размера затрат на восстановление зеленых насаждений при их сносе и (или) обрезке при получении разрешения на снос, замену, пересадку, обрезку зеленых насаждений и при расчете размера вреда, причиненного зеленому фонду города Оби в результате сноса и (или) обрезки зеленых насаждений без получения разрешения на снос, замену, пересадку, обрезку зеленых насаждений.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1.2.Сумма восстановительной стоимости зеленых насаждений зачисляется в бюджет города.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2.Исчисление суммы восстановительной стоимости зеленых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насаждений на территории города Оби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2.1.Сумма восстановительной стоимости зеленых насаждений исчисляется в зависимости от количества, породы и диаметра ствола дерева на высоте 1,3 м, возраста и типа произрастания кустарника, типа газона или цветника и занимаемой им площади, их месторасположения в соответствии </w:t>
      </w: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с картой градостроительного зонирования города Оби, а также правомерности проведения работ.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2.2.Сумма восстановительной стоимости зеленых насаждений определяется по формуле: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     СВС = ((ВС1 x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Квр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) + (ВС2 x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Квр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) + ... + (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ВСn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x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Квр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)) x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Кзон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x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Ксс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, где: СВС - сумма    восстановительной    стоимости    зеленых насаждений, рублей;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2.     ВС1, ВС2, ...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ВСn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- 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размер  восстановительной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стоимости каждой единицы зеленых  насаждений, определяемой в соответствии с приложением, рублей;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3.    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Квр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- коэффициент, учитывающий вид работ: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     1,0 - снос (уничтожение);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5.     0,5 - обрезка (повреждение);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6.    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Кзон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- коэффициент, учитывающий     градостроительный регламент    земельного    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участка,   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   котором расположены     зеленые    насаждения    (согласно территориальным   зонам,   выделенным   на   карте   градостроительного  зонирования  территории города Оби  территориальным   зонам,   выделенным   на   карте  градостроительного  зонирования  территории города Оби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                  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7.     2,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0  -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для природной зоны (Р-1) и зоны озеленения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8.     (Р-2);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9.     1,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8  -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для зоны отдыха и оздоровления (Р-3), зоны объектов  спортивного  назначения (Р-4), для жилых   зон (Ж-1, Ж-2, Ж-3);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10.            1,5   -   для   зоны   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делового,  общественного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и  коммерческого назначения (ОД-1);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11.            1,0 - для производственных зон (П-1, П-2);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12.            0,5    -   для   зон   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инженерной  и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транспортной  инфраструктур (ИТ-1, ИТ-2, ИТ-3, ИТ-4);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13.            0,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  -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для зон специального назначения (С-1, С-2, С-3) зоны   сельскохозяйственного  использования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14.            (СХ), 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зоны  стоянок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для легковых автомобилей (СА), зоны объектов среднего профессионального и высшего профессионального образования, научно-исследовательских  учреждений  (ОД-2), зоны объектов здравоохранения(ОД-3),зоны  специализированной общественной застройки (ОД-4),  зоны   объектов  дошкольного,  начального  общего, основного   общего  и  среднего  (полного)  общего                         образования (ОД-5);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15.           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Ксс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- коэффициент, учитывающий наличие (отсутствие) при                         проведении   </w:t>
      </w:r>
      <w:proofErr w:type="gram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работ  разрешения</w:t>
      </w:r>
      <w:proofErr w:type="gram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на  снос,  замену,  пересадку,     обрезку     зеленых насаждений, оформленного в установленном порядке (далее -                         разрешение):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16.             1,0 - с наличием разрешения;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17.             2,0 - без наличия разрешения.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</w:t>
      </w: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/>
        <w:t>к методике исчисления суммы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восстановительной стоимости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                 зеленых насаждений на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территории города Оби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Размер восстановительной стоимости зеленых насаждений на территории города Оби.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Деревья  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Размер восстановительной стоимости деревьев определяется в зависимости от породы дерева и диаметра ствола дерева на высоте 1,3 м.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996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764"/>
        <w:gridCol w:w="1348"/>
        <w:gridCol w:w="2272"/>
        <w:gridCol w:w="2640"/>
        <w:gridCol w:w="2528"/>
      </w:tblGrid>
      <w:tr w:rsidR="00BA741B" w:rsidRPr="00BA741B" w:rsidTr="00BA741B">
        <w:tc>
          <w:tcPr>
            <w:tcW w:w="746" w:type="dxa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N п.</w:t>
            </w:r>
          </w:p>
        </w:tc>
        <w:tc>
          <w:tcPr>
            <w:tcW w:w="1474" w:type="dxa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Диаметр дерева на высоте 1,3 м, см</w:t>
            </w:r>
          </w:p>
        </w:tc>
        <w:tc>
          <w:tcPr>
            <w:tcW w:w="7740" w:type="dxa"/>
            <w:gridSpan w:val="4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Восстановительная стоимость одного дерева, рублей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дуб, кедр, туя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липа, пихта, сосна, ель, лиственница, можжевельник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береза, ива, вяз, боярышник, орех маньчжурский, рябина, черемуха, клен (кроме </w:t>
            </w:r>
            <w:proofErr w:type="spellStart"/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ясенелистного</w:t>
            </w:r>
            <w:proofErr w:type="spellEnd"/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), ясень, яблоня, тополь (кроме бальзамического)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тополь бальзамический, клен </w:t>
            </w:r>
            <w:proofErr w:type="spellStart"/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ясенелистный</w:t>
            </w:r>
            <w:proofErr w:type="spellEnd"/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Саженцы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1657,0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242,0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2762,0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414,0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8837,0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2209,0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1312,0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14913,0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7456,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3728,0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2209,0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17122,0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8561,0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4280,0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2554,0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19331,0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9666,0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4833,0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2900,0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22093,0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11046,0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5223,0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3314,0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24854,0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12427,0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6214,0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3728,0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28168,0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14084,0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7042,0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4211,0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30930,0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15465,0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7732,0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4626,0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33139,0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16570,0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8285,0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4971,0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35348,0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17674,0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8837,0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5282,0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36453,0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18227,0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5454,0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37558,0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18779,0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9389,0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5627,0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38110,0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19055,0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9528,0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5696,0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39215,0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19607,0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9804,0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5868,0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40319,0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20160,0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10080,0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6041,0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40872,0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20436,0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10218,0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6110,0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41424,0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20712,0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10356,0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6214,0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41976,0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20988,0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10494,0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6283,0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44186,0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22093,0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11046,0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6628,0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45843,0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22921,0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11461,0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6869,0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47500,0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23750,0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11875,0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7111,0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48052,0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24026,0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12013,0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7180,0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49156,0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24578,0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12289,0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7353,0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51366,0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25683,0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12841,0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7698,0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54127,0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27064,0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13532,0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8112,0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55784,0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27892,0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13946,0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8354,0</w:t>
            </w:r>
          </w:p>
        </w:tc>
      </w:tr>
      <w:tr w:rsidR="00BA741B" w:rsidRPr="00BA741B" w:rsidTr="00BA741B">
        <w:tc>
          <w:tcPr>
            <w:tcW w:w="746" w:type="dxa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57994,0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28997,0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14498,0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8699,0</w:t>
            </w:r>
          </w:p>
        </w:tc>
      </w:tr>
    </w:tbl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Иные породы деревьев приравниваются к породам, указанным в графе 5.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Если дерево имеет несколько стволов, то в расчетах учитывается один ствол с наибольшим диаметром. Если второстепенный ствол достиг в диаметре 5 см и расположен на расстоянии 0,5 м и более от основного ствола на высоте 1,3 м, то данный ствол считается за отдельное дерево.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Заросли деревьев (деревья самосевного или порослевого происхождения, образующие единый сомкнутый полог) рассчитываются следующим образом: каждые 100 кв.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мприравниваются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к 15 деревьям той же породы диаметром 24 см.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 2. Кустарники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Размер восстановительной стоимости кустарников определяется в зависимости от возраста кустарника и типа произрастания.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996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972"/>
        <w:gridCol w:w="1647"/>
        <w:gridCol w:w="1484"/>
        <w:gridCol w:w="3533"/>
      </w:tblGrid>
      <w:tr w:rsidR="00BA741B" w:rsidRPr="00BA741B" w:rsidTr="00BA741B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N п.</w:t>
            </w:r>
          </w:p>
        </w:tc>
        <w:tc>
          <w:tcPr>
            <w:tcW w:w="1715" w:type="dxa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Возраст кустарников</w:t>
            </w:r>
          </w:p>
        </w:tc>
        <w:tc>
          <w:tcPr>
            <w:tcW w:w="6849" w:type="dxa"/>
            <w:gridSpan w:val="3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Восстановительная стоимость одного кустарника, рублей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свободно растущий</w:t>
            </w:r>
          </w:p>
        </w:tc>
        <w:tc>
          <w:tcPr>
            <w:tcW w:w="5394" w:type="dxa"/>
            <w:gridSpan w:val="2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живой изгороди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138,0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207,0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345,0</w:t>
            </w:r>
          </w:p>
        </w:tc>
      </w:tr>
      <w:tr w:rsidR="00BA741B" w:rsidRPr="00BA741B" w:rsidTr="00BA741B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 - 3 штукам.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Заросли кустарников (кустарники самосевного или порослевого происхождения, образующие единый сомкнутый полог) рассчитываются следующим образом: каждые 100 кв. </w:t>
      </w:r>
      <w:proofErr w:type="spellStart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мприравниваются</w:t>
      </w:r>
      <w:proofErr w:type="spellEnd"/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к 15 кустарникам возрастом свыше 10 лет.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 Газоны, цветники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Размер восстановительной стоимости газонов, цветников определяется в зависимости от типа газона, цветника и занимаемой им площади (кв. м).</w:t>
      </w:r>
    </w:p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996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761"/>
        <w:gridCol w:w="5220"/>
      </w:tblGrid>
      <w:tr w:rsidR="00BA741B" w:rsidRPr="00BA741B" w:rsidTr="00BA741B">
        <w:tc>
          <w:tcPr>
            <w:tcW w:w="0" w:type="auto"/>
            <w:tcBorders>
              <w:top w:val="single" w:sz="8" w:space="0" w:color="CDCDCD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N п.</w:t>
            </w:r>
          </w:p>
        </w:tc>
        <w:tc>
          <w:tcPr>
            <w:tcW w:w="3761" w:type="dxa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0" w:type="dxa"/>
            <w:tcBorders>
              <w:top w:val="single" w:sz="8" w:space="0" w:color="CDCDCD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Восстановительная стоимость 1 кв. </w:t>
            </w:r>
            <w:proofErr w:type="spellStart"/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мгазонов</w:t>
            </w:r>
            <w:proofErr w:type="spellEnd"/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, цветников, рублей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Газоны партерные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138,0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Газоны обыкновенные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69,0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Газоны луговые, естественная травяная растительность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35,0</w:t>
            </w:r>
          </w:p>
        </w:tc>
      </w:tr>
      <w:tr w:rsidR="00BA741B" w:rsidRPr="00BA741B" w:rsidTr="00BA741B">
        <w:tc>
          <w:tcPr>
            <w:tcW w:w="0" w:type="auto"/>
            <w:tcBorders>
              <w:top w:val="nil"/>
              <w:left w:val="single" w:sz="8" w:space="0" w:color="CDCDCD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CDCDCD"/>
              <w:right w:val="single" w:sz="8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BA741B" w:rsidRPr="00BA741B" w:rsidRDefault="00BA741B" w:rsidP="00BA741B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BA741B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690,0</w:t>
            </w:r>
          </w:p>
        </w:tc>
      </w:tr>
    </w:tbl>
    <w:p w:rsidR="00BA741B" w:rsidRPr="00BA741B" w:rsidRDefault="00BA741B" w:rsidP="00BA741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A741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713E15" w:rsidRPr="00BA741B" w:rsidRDefault="00713E15" w:rsidP="00BA741B">
      <w:bookmarkStart w:id="0" w:name="_GoBack"/>
      <w:bookmarkEnd w:id="0"/>
    </w:p>
    <w:sectPr w:rsidR="00713E15" w:rsidRPr="00BA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B228D"/>
    <w:multiLevelType w:val="multilevel"/>
    <w:tmpl w:val="6C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228E"/>
    <w:multiLevelType w:val="multilevel"/>
    <w:tmpl w:val="A65A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05FEC"/>
    <w:multiLevelType w:val="multilevel"/>
    <w:tmpl w:val="69A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D716D"/>
    <w:multiLevelType w:val="multilevel"/>
    <w:tmpl w:val="59E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16199"/>
    <w:multiLevelType w:val="multilevel"/>
    <w:tmpl w:val="E3F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A43D6"/>
    <w:multiLevelType w:val="multilevel"/>
    <w:tmpl w:val="7A4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842D8"/>
    <w:multiLevelType w:val="multilevel"/>
    <w:tmpl w:val="2BF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139D3"/>
    <w:rsid w:val="0016084B"/>
    <w:rsid w:val="00163C7D"/>
    <w:rsid w:val="00291089"/>
    <w:rsid w:val="0036186D"/>
    <w:rsid w:val="0036729F"/>
    <w:rsid w:val="003815ED"/>
    <w:rsid w:val="005763D5"/>
    <w:rsid w:val="005845E4"/>
    <w:rsid w:val="005E590B"/>
    <w:rsid w:val="006400C4"/>
    <w:rsid w:val="00713E15"/>
    <w:rsid w:val="0077664E"/>
    <w:rsid w:val="00A67CC7"/>
    <w:rsid w:val="00AA5FF4"/>
    <w:rsid w:val="00AE05FD"/>
    <w:rsid w:val="00BA741B"/>
    <w:rsid w:val="00C01FDC"/>
    <w:rsid w:val="00C64D15"/>
    <w:rsid w:val="00D35347"/>
    <w:rsid w:val="00E01521"/>
    <w:rsid w:val="00E608A6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3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3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E0152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3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2019-08-08T04:50:00Z</dcterms:created>
  <dcterms:modified xsi:type="dcterms:W3CDTF">2019-08-08T04:50:00Z</dcterms:modified>
</cp:coreProperties>
</file>